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5955A" w14:textId="77777777" w:rsidR="00910BF1" w:rsidRPr="00E56CB8" w:rsidRDefault="00910BF1" w:rsidP="00910BF1">
      <w:pPr>
        <w:rPr>
          <w:rFonts w:ascii="Tahoma" w:hAnsi="Tahoma" w:cs="Tahoma"/>
          <w:lang w:val="en-GB"/>
        </w:rPr>
      </w:pPr>
    </w:p>
    <w:p w14:paraId="719F70F0" w14:textId="0BB9EA51" w:rsidR="00E170C9" w:rsidRDefault="00BD0B2C">
      <w:pPr>
        <w:jc w:val="center"/>
        <w:rPr>
          <w:rFonts w:ascii="Times New Roman" w:hAnsi="Times New Roman" w:cs="Times New Roman"/>
          <w:b/>
          <w:bCs/>
          <w:color w:val="031F8F"/>
          <w:sz w:val="50"/>
          <w:szCs w:val="50"/>
          <w:lang w:val="en-GB"/>
        </w:rPr>
      </w:pPr>
      <w:r>
        <w:rPr>
          <w:rFonts w:ascii="Times New Roman" w:hAnsi="Times New Roman" w:cs="Times New Roman"/>
          <w:b/>
          <w:bCs/>
          <w:noProof/>
          <w:color w:val="031F8F"/>
          <w:sz w:val="50"/>
          <w:szCs w:val="50"/>
          <w:lang w:val="en-GB"/>
        </w:rPr>
        <w:drawing>
          <wp:inline distT="0" distB="0" distL="0" distR="0" wp14:anchorId="4308B448" wp14:editId="70A88317">
            <wp:extent cx="10477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790575"/>
                    </a:xfrm>
                    <a:prstGeom prst="rect">
                      <a:avLst/>
                    </a:prstGeom>
                    <a:noFill/>
                    <a:ln>
                      <a:noFill/>
                    </a:ln>
                  </pic:spPr>
                </pic:pic>
              </a:graphicData>
            </a:graphic>
          </wp:inline>
        </w:drawing>
      </w:r>
    </w:p>
    <w:p w14:paraId="0CBC9FD3" w14:textId="77777777" w:rsidR="007F7FA9" w:rsidRPr="0038647D" w:rsidRDefault="009B5FA0">
      <w:pPr>
        <w:jc w:val="center"/>
        <w:rPr>
          <w:rFonts w:ascii="Times New Roman" w:hAnsi="Times New Roman" w:cs="Times New Roman"/>
          <w:b/>
          <w:bCs/>
          <w:color w:val="031F8F"/>
          <w:sz w:val="50"/>
          <w:szCs w:val="50"/>
          <w:lang w:val="en-GB"/>
        </w:rPr>
      </w:pPr>
      <w:proofErr w:type="spellStart"/>
      <w:r w:rsidRPr="0038647D">
        <w:rPr>
          <w:rFonts w:ascii="Times New Roman" w:hAnsi="Times New Roman" w:cs="Times New Roman"/>
          <w:b/>
          <w:bCs/>
          <w:color w:val="031F8F"/>
          <w:sz w:val="50"/>
          <w:szCs w:val="50"/>
          <w:lang w:val="en-GB"/>
        </w:rPr>
        <w:t>GrantFinder</w:t>
      </w:r>
      <w:proofErr w:type="spellEnd"/>
    </w:p>
    <w:p w14:paraId="3B4C2636" w14:textId="77777777" w:rsidR="007F7FA9" w:rsidRPr="0038647D" w:rsidRDefault="00187573">
      <w:pPr>
        <w:jc w:val="center"/>
        <w:rPr>
          <w:rFonts w:ascii="Times New Roman" w:hAnsi="Times New Roman" w:cs="Times New Roman"/>
          <w:b/>
          <w:bCs/>
          <w:color w:val="031F8F"/>
          <w:sz w:val="36"/>
          <w:szCs w:val="36"/>
          <w:lang w:val="en-GB"/>
        </w:rPr>
      </w:pPr>
      <w:r w:rsidRPr="0038647D">
        <w:rPr>
          <w:rFonts w:ascii="Times New Roman" w:hAnsi="Times New Roman" w:cs="Times New Roman"/>
          <w:b/>
          <w:bCs/>
          <w:color w:val="031F8F"/>
          <w:sz w:val="36"/>
          <w:szCs w:val="36"/>
          <w:lang w:val="en-GB"/>
        </w:rPr>
        <w:t xml:space="preserve"> </w:t>
      </w:r>
      <w:proofErr w:type="spellStart"/>
      <w:r w:rsidR="007F7FA9" w:rsidRPr="0038647D">
        <w:rPr>
          <w:rFonts w:ascii="Times New Roman" w:hAnsi="Times New Roman" w:cs="Times New Roman"/>
          <w:b/>
          <w:bCs/>
          <w:color w:val="031F8F"/>
          <w:sz w:val="36"/>
          <w:szCs w:val="36"/>
          <w:lang w:val="en-GB"/>
        </w:rPr>
        <w:t>Movember</w:t>
      </w:r>
      <w:proofErr w:type="spellEnd"/>
      <w:r w:rsidR="007F7FA9" w:rsidRPr="0038647D">
        <w:rPr>
          <w:rFonts w:ascii="Times New Roman" w:hAnsi="Times New Roman" w:cs="Times New Roman"/>
          <w:b/>
          <w:bCs/>
          <w:color w:val="031F8F"/>
          <w:sz w:val="36"/>
          <w:szCs w:val="36"/>
          <w:lang w:val="en-GB"/>
        </w:rPr>
        <w:t xml:space="preserve"> - Scaling What Works in Community and Workplace Grant</w:t>
      </w:r>
    </w:p>
    <w:p w14:paraId="7362C72C" w14:textId="77777777" w:rsidR="005D4505" w:rsidRPr="00E56CB8" w:rsidRDefault="005D4505" w:rsidP="005D4505">
      <w:pPr>
        <w:rPr>
          <w:rFonts w:ascii="Tahoma" w:hAnsi="Tahoma" w:cs="Tahoma"/>
          <w:lang w:val="en-GB"/>
        </w:rPr>
      </w:pPr>
    </w:p>
    <w:p w14:paraId="2F7FCFDB" w14:textId="77777777" w:rsidR="007F7FA9" w:rsidRPr="00E56CB8" w:rsidRDefault="007F7FA9">
      <w:pPr>
        <w:rPr>
          <w:rFonts w:ascii="Tahoma" w:hAnsi="Tahoma" w:cs="Tahoma"/>
          <w:lang w:val="en-GB"/>
        </w:rPr>
      </w:pPr>
    </w:p>
    <w:p w14:paraId="5555DB8D" w14:textId="77777777" w:rsidR="007F7FA9" w:rsidRPr="0038647D" w:rsidRDefault="007F7FA9">
      <w:pPr>
        <w:jc w:val="center"/>
        <w:rPr>
          <w:rFonts w:ascii="Tahoma" w:hAnsi="Tahoma" w:cs="Tahoma"/>
          <w:lang w:val="en-GB"/>
        </w:rPr>
      </w:pPr>
      <w:r w:rsidRPr="0038647D">
        <w:rPr>
          <w:rFonts w:ascii="Tahoma" w:hAnsi="Tahoma" w:cs="Tahoma"/>
          <w:lang w:val="en-GB"/>
        </w:rPr>
        <w:t>Prepared for</w:t>
      </w:r>
      <w:r w:rsidR="007B3574" w:rsidRPr="0038647D">
        <w:rPr>
          <w:rFonts w:ascii="Tahoma" w:hAnsi="Tahoma" w:cs="Tahoma"/>
          <w:lang w:val="en-GB"/>
        </w:rPr>
        <w:t xml:space="preserve"> </w:t>
      </w:r>
      <w:r w:rsidR="00A81ACE" w:rsidRPr="0038647D">
        <w:rPr>
          <w:rFonts w:ascii="Tahoma" w:hAnsi="Tahoma" w:cs="Tahoma"/>
          <w:lang w:val="en-GB"/>
        </w:rPr>
        <w:t>Steve Brain</w:t>
      </w:r>
      <w:r w:rsidR="004A15E6" w:rsidRPr="0038647D">
        <w:rPr>
          <w:rFonts w:ascii="Tahoma" w:hAnsi="Tahoma" w:cs="Tahoma"/>
          <w:lang w:val="en-GB"/>
        </w:rPr>
        <w:t xml:space="preserve"> of Worcestershire County Council</w:t>
      </w:r>
    </w:p>
    <w:p w14:paraId="59D485A4" w14:textId="77777777" w:rsidR="003F3F31" w:rsidRPr="00E56CB8" w:rsidRDefault="003F3F31">
      <w:pPr>
        <w:jc w:val="center"/>
        <w:rPr>
          <w:rFonts w:ascii="Tahoma" w:hAnsi="Tahoma" w:cs="Tahoma"/>
          <w:lang w:val="en-GB"/>
        </w:rPr>
      </w:pPr>
    </w:p>
    <w:p w14:paraId="4917C11D" w14:textId="77777777" w:rsidR="00F82E70" w:rsidRPr="00E56CB8" w:rsidRDefault="00F82E70" w:rsidP="00614D80">
      <w:pPr>
        <w:rPr>
          <w:rFonts w:ascii="Tahoma" w:hAnsi="Tahoma" w:cs="Tahoma"/>
          <w:lang w:val="en-GB"/>
        </w:rPr>
      </w:pPr>
    </w:p>
    <w:p w14:paraId="2F585BE3" w14:textId="77777777" w:rsidR="00F82E70" w:rsidRPr="00E56CB8" w:rsidRDefault="00F82E70" w:rsidP="00F82E70">
      <w:pPr>
        <w:jc w:val="center"/>
        <w:rPr>
          <w:rFonts w:ascii="Tahoma" w:hAnsi="Tahoma" w:cs="Tahoma"/>
          <w:lang w:val="en-GB"/>
        </w:rPr>
      </w:pPr>
    </w:p>
    <w:p w14:paraId="6BC9F1F2" w14:textId="77777777" w:rsidR="00F82E70" w:rsidRPr="00E56CB8" w:rsidRDefault="00F82E70" w:rsidP="00F82E70">
      <w:pPr>
        <w:jc w:val="center"/>
        <w:rPr>
          <w:rFonts w:ascii="Tahoma" w:hAnsi="Tahoma" w:cs="Tahoma"/>
          <w:lang w:val="en-GB"/>
        </w:rPr>
      </w:pPr>
    </w:p>
    <w:p w14:paraId="3D53D2FD" w14:textId="77777777" w:rsidR="007F7FA9" w:rsidRPr="00E56CB8" w:rsidRDefault="007F7FA9" w:rsidP="00614D80">
      <w:pPr>
        <w:rPr>
          <w:rFonts w:ascii="Tahoma" w:hAnsi="Tahoma" w:cs="Tahoma"/>
          <w:lang w:val="en-GB"/>
        </w:rPr>
      </w:pPr>
    </w:p>
    <w:p w14:paraId="53D21A56" w14:textId="77777777" w:rsidR="00D13BFF" w:rsidRPr="00E56CB8" w:rsidRDefault="00D13BFF" w:rsidP="00FC0AE4">
      <w:pPr>
        <w:rPr>
          <w:rFonts w:ascii="Tahoma" w:hAnsi="Tahoma" w:cs="Tahoma"/>
          <w:lang w:val="en-GB"/>
        </w:rPr>
      </w:pPr>
    </w:p>
    <w:p w14:paraId="3E493AB2" w14:textId="77777777" w:rsidR="007F7FA9" w:rsidRPr="00E56CB8" w:rsidRDefault="00D13BFF" w:rsidP="009045AC">
      <w:pPr>
        <w:rPr>
          <w:rFonts w:ascii="Tahoma" w:hAnsi="Tahoma" w:cs="Tahoma"/>
          <w:lang w:val="en-GB"/>
        </w:rPr>
      </w:pPr>
      <w:r w:rsidRPr="00E56CB8">
        <w:rPr>
          <w:rFonts w:ascii="Tahoma" w:hAnsi="Tahoma" w:cs="Tahoma"/>
          <w:lang w:val="en-GB"/>
        </w:rPr>
        <w:br w:type="page"/>
      </w:r>
    </w:p>
    <w:p w14:paraId="1A5D9642" w14:textId="77777777" w:rsidR="00420E8A" w:rsidRPr="00E56CB8" w:rsidRDefault="00997672" w:rsidP="0076159A">
      <w:pPr>
        <w:pStyle w:val="Heading2"/>
        <w:rPr>
          <w:rFonts w:ascii="Tahoma" w:hAnsi="Tahoma" w:cs="Tahoma"/>
          <w:b w:val="0"/>
          <w:color w:val="auto"/>
          <w:sz w:val="18"/>
          <w:szCs w:val="18"/>
        </w:rPr>
      </w:pPr>
      <w:hyperlink r:id="rId9" w:history="1">
        <w:proofErr w:type="spellStart"/>
        <w:r w:rsidR="001D16D4" w:rsidRPr="0038647D">
          <w:rPr>
            <w:rStyle w:val="Hyperlink"/>
            <w:rFonts w:ascii="Tahoma" w:hAnsi="Tahoma" w:cs="Tahoma"/>
            <w:color w:val="031F8F"/>
            <w:sz w:val="22"/>
            <w:szCs w:val="22"/>
          </w:rPr>
          <w:t>Movember</w:t>
        </w:r>
        <w:proofErr w:type="spellEnd"/>
        <w:r w:rsidR="001D16D4" w:rsidRPr="0038647D">
          <w:rPr>
            <w:rStyle w:val="Hyperlink"/>
            <w:rFonts w:ascii="Tahoma" w:hAnsi="Tahoma" w:cs="Tahoma"/>
            <w:color w:val="031F8F"/>
            <w:sz w:val="22"/>
            <w:szCs w:val="22"/>
          </w:rPr>
          <w:t xml:space="preserve"> - Scaling What Works in Community and Workplace Grant</w:t>
        </w:r>
      </w:hyperlink>
      <w:r w:rsidR="000171F0" w:rsidRPr="00E56CB8">
        <w:rPr>
          <w:rFonts w:ascii="Tahoma" w:hAnsi="Tahoma" w:cs="Tahoma"/>
          <w:b w:val="0"/>
          <w:color w:val="auto"/>
          <w:sz w:val="18"/>
          <w:szCs w:val="18"/>
        </w:rPr>
        <w:t xml:space="preserve"> </w:t>
      </w:r>
      <w:r w:rsidR="000171F0" w:rsidRPr="00E56CB8">
        <w:rPr>
          <w:rFonts w:ascii="Tahoma" w:hAnsi="Tahoma" w:cs="Tahoma"/>
          <w:b w:val="0"/>
          <w:bCs w:val="0"/>
          <w:color w:val="C00000"/>
          <w:sz w:val="18"/>
          <w:szCs w:val="18"/>
        </w:rPr>
        <w:t>NEW</w:t>
      </w:r>
      <w:r w:rsidR="00A67841" w:rsidRPr="00E56CB8">
        <w:rPr>
          <w:rFonts w:ascii="Tahoma" w:hAnsi="Tahoma" w:cs="Tahoma"/>
          <w:b w:val="0"/>
          <w:color w:val="auto"/>
          <w:sz w:val="18"/>
          <w:szCs w:val="18"/>
        </w:rPr>
        <w:br/>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410"/>
        <w:gridCol w:w="5958"/>
      </w:tblGrid>
      <w:tr w:rsidR="00A67841" w:rsidRPr="00E56CB8" w14:paraId="54879809" w14:textId="77777777" w:rsidTr="00493306">
        <w:trPr>
          <w:trHeight w:val="342"/>
        </w:trPr>
        <w:tc>
          <w:tcPr>
            <w:tcW w:w="2410" w:type="dxa"/>
            <w:vAlign w:val="center"/>
          </w:tcPr>
          <w:p w14:paraId="135A226B" w14:textId="77777777" w:rsidR="00A67841" w:rsidRPr="00E56CB8" w:rsidRDefault="00A67841" w:rsidP="00493306">
            <w:pPr>
              <w:rPr>
                <w:rFonts w:ascii="Tahoma" w:hAnsi="Tahoma" w:cs="Tahoma"/>
                <w:bCs/>
                <w:lang w:val="en-GB"/>
              </w:rPr>
            </w:pPr>
            <w:r w:rsidRPr="00E56CB8">
              <w:rPr>
                <w:rFonts w:ascii="Tahoma" w:hAnsi="Tahoma" w:cs="Tahoma"/>
                <w:bCs/>
                <w:lang w:val="en-GB"/>
              </w:rPr>
              <w:t>Fund ID:</w:t>
            </w:r>
          </w:p>
        </w:tc>
        <w:tc>
          <w:tcPr>
            <w:tcW w:w="5958" w:type="dxa"/>
            <w:vAlign w:val="center"/>
          </w:tcPr>
          <w:p w14:paraId="03E71E71" w14:textId="77777777" w:rsidR="00A67841" w:rsidRPr="00E56CB8" w:rsidRDefault="00A67841" w:rsidP="00493306">
            <w:pPr>
              <w:rPr>
                <w:rFonts w:ascii="Tahoma" w:hAnsi="Tahoma" w:cs="Tahoma"/>
                <w:lang w:val="en-GB"/>
              </w:rPr>
            </w:pPr>
            <w:r w:rsidRPr="00E56CB8">
              <w:rPr>
                <w:rFonts w:ascii="Tahoma" w:hAnsi="Tahoma" w:cs="Tahoma"/>
                <w:lang w:val="en-GB"/>
              </w:rPr>
              <w:t>S47788</w:t>
            </w:r>
          </w:p>
        </w:tc>
      </w:tr>
      <w:tr w:rsidR="00A67841" w:rsidRPr="00E56CB8" w14:paraId="65763835" w14:textId="77777777" w:rsidTr="00493306">
        <w:trPr>
          <w:trHeight w:val="342"/>
        </w:trPr>
        <w:tc>
          <w:tcPr>
            <w:tcW w:w="2410" w:type="dxa"/>
            <w:vAlign w:val="center"/>
          </w:tcPr>
          <w:p w14:paraId="70E079F1" w14:textId="77777777" w:rsidR="00A67841" w:rsidRPr="00E56CB8" w:rsidRDefault="00A67841" w:rsidP="00493306">
            <w:pPr>
              <w:rPr>
                <w:rFonts w:ascii="Tahoma" w:hAnsi="Tahoma" w:cs="Tahoma"/>
                <w:bCs/>
                <w:lang w:val="en-GB"/>
              </w:rPr>
            </w:pPr>
            <w:r w:rsidRPr="00E56CB8">
              <w:rPr>
                <w:rFonts w:ascii="Tahoma" w:hAnsi="Tahoma" w:cs="Tahoma"/>
                <w:bCs/>
                <w:lang w:val="en-GB"/>
              </w:rPr>
              <w:t>Status:</w:t>
            </w:r>
          </w:p>
        </w:tc>
        <w:tc>
          <w:tcPr>
            <w:tcW w:w="5958" w:type="dxa"/>
            <w:vAlign w:val="center"/>
          </w:tcPr>
          <w:p w14:paraId="6EB3093C" w14:textId="77777777" w:rsidR="00A67841" w:rsidRPr="00E56CB8" w:rsidRDefault="00A67841" w:rsidP="00493306">
            <w:pPr>
              <w:rPr>
                <w:rFonts w:ascii="Tahoma" w:hAnsi="Tahoma" w:cs="Tahoma"/>
                <w:bCs/>
                <w:lang w:val="en-GB"/>
              </w:rPr>
            </w:pPr>
            <w:r w:rsidRPr="00E56CB8">
              <w:rPr>
                <w:rFonts w:ascii="Tahoma" w:hAnsi="Tahoma" w:cs="Tahoma"/>
                <w:lang w:val="en-GB"/>
              </w:rPr>
              <w:t>Open for Applications</w:t>
            </w:r>
          </w:p>
        </w:tc>
      </w:tr>
      <w:tr w:rsidR="00A67841" w:rsidRPr="00E56CB8" w14:paraId="022DD74C" w14:textId="77777777" w:rsidTr="00493306">
        <w:trPr>
          <w:trHeight w:val="342"/>
        </w:trPr>
        <w:tc>
          <w:tcPr>
            <w:tcW w:w="2410" w:type="dxa"/>
            <w:vAlign w:val="center"/>
          </w:tcPr>
          <w:p w14:paraId="03573B60" w14:textId="77777777" w:rsidR="00A67841" w:rsidRPr="00E56CB8" w:rsidRDefault="00A67841" w:rsidP="00A67841">
            <w:pPr>
              <w:rPr>
                <w:rFonts w:ascii="Tahoma" w:hAnsi="Tahoma" w:cs="Tahoma"/>
                <w:bCs/>
                <w:lang w:val="en-GB"/>
              </w:rPr>
            </w:pPr>
            <w:r w:rsidRPr="00E56CB8">
              <w:rPr>
                <w:rFonts w:ascii="Tahoma" w:hAnsi="Tahoma" w:cs="Tahoma"/>
                <w:bCs/>
                <w:lang w:val="en-GB"/>
              </w:rPr>
              <w:t>Last updated:</w:t>
            </w:r>
          </w:p>
        </w:tc>
        <w:tc>
          <w:tcPr>
            <w:tcW w:w="5958" w:type="dxa"/>
            <w:vAlign w:val="center"/>
          </w:tcPr>
          <w:p w14:paraId="448D777D" w14:textId="77777777" w:rsidR="00A67841" w:rsidRPr="00E56CB8" w:rsidRDefault="00A67841" w:rsidP="00A67841">
            <w:pPr>
              <w:rPr>
                <w:rFonts w:ascii="Tahoma" w:hAnsi="Tahoma" w:cs="Tahoma"/>
                <w:bCs/>
                <w:lang w:val="en-GB"/>
              </w:rPr>
            </w:pPr>
            <w:r w:rsidRPr="00E56CB8">
              <w:rPr>
                <w:rFonts w:ascii="Tahoma" w:hAnsi="Tahoma" w:cs="Tahoma"/>
                <w:lang w:val="en-GB"/>
              </w:rPr>
              <w:t>Not specified</w:t>
            </w:r>
          </w:p>
        </w:tc>
      </w:tr>
    </w:tbl>
    <w:p w14:paraId="33A92CC4" w14:textId="77777777" w:rsidR="00420E8A" w:rsidRPr="00E56CB8" w:rsidRDefault="00420E8A" w:rsidP="00420E8A">
      <w:pPr>
        <w:rPr>
          <w:rFonts w:ascii="Tahoma" w:hAnsi="Tahoma" w:cs="Tahoma"/>
          <w:bCs/>
          <w:lang w:val="en-GB"/>
        </w:rPr>
      </w:pPr>
      <w:r w:rsidRPr="00E56CB8">
        <w:rPr>
          <w:rFonts w:ascii="Tahoma" w:hAnsi="Tahoma" w:cs="Tahoma"/>
          <w:bCs/>
          <w:lang w:val="en-GB"/>
        </w:rPr>
        <w:t>Grants are available to scale up community and workplace initiatives that support mental health and wellbeing in men and boys (aged 12 and over) across the United Kingdom.</w:t>
      </w:r>
    </w:p>
    <w:p w14:paraId="7C2730D8" w14:textId="77777777" w:rsidR="00BF7069" w:rsidRPr="0038647D" w:rsidRDefault="00BF7069" w:rsidP="00420E8A">
      <w:pPr>
        <w:rPr>
          <w:rFonts w:ascii="Tahoma" w:hAnsi="Tahoma" w:cs="Tahoma"/>
          <w:b/>
          <w:sz w:val="22"/>
          <w:szCs w:val="22"/>
          <w:lang w:val="en-GB"/>
        </w:rPr>
      </w:pPr>
      <w:r w:rsidRPr="0038647D">
        <w:rPr>
          <w:rFonts w:ascii="Tahoma" w:hAnsi="Tahoma" w:cs="Tahoma"/>
          <w:b/>
          <w:sz w:val="22"/>
          <w:szCs w:val="22"/>
          <w:lang w:val="en-GB"/>
        </w:rPr>
        <w:t>Fund Information</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410"/>
        <w:gridCol w:w="5958"/>
      </w:tblGrid>
      <w:tr w:rsidR="005B477F" w:rsidRPr="00E56CB8" w14:paraId="26352DC4" w14:textId="77777777" w:rsidTr="00EF1B61">
        <w:trPr>
          <w:trHeight w:val="342"/>
        </w:trPr>
        <w:tc>
          <w:tcPr>
            <w:tcW w:w="2410" w:type="dxa"/>
            <w:vAlign w:val="center"/>
          </w:tcPr>
          <w:p w14:paraId="0689D6EB" w14:textId="77777777" w:rsidR="005B477F" w:rsidRPr="00E56CB8" w:rsidRDefault="005B477F" w:rsidP="00C76CC2">
            <w:pPr>
              <w:rPr>
                <w:rFonts w:ascii="Tahoma" w:hAnsi="Tahoma" w:cs="Tahoma"/>
                <w:bCs/>
                <w:lang w:val="en-GB"/>
              </w:rPr>
            </w:pPr>
            <w:r w:rsidRPr="00E56CB8">
              <w:rPr>
                <w:rFonts w:ascii="Tahoma" w:hAnsi="Tahoma" w:cs="Tahoma"/>
                <w:bCs/>
                <w:lang w:val="en-GB"/>
              </w:rPr>
              <w:t>Funding body:</w:t>
            </w:r>
          </w:p>
        </w:tc>
        <w:tc>
          <w:tcPr>
            <w:tcW w:w="5958" w:type="dxa"/>
            <w:vAlign w:val="center"/>
          </w:tcPr>
          <w:p w14:paraId="7106A001" w14:textId="77777777" w:rsidR="005B477F" w:rsidRPr="00E56CB8" w:rsidRDefault="005B477F" w:rsidP="00C76CC2">
            <w:pPr>
              <w:rPr>
                <w:rFonts w:ascii="Tahoma" w:hAnsi="Tahoma" w:cs="Tahoma"/>
                <w:lang w:val="en-GB"/>
              </w:rPr>
            </w:pPr>
            <w:proofErr w:type="spellStart"/>
            <w:r w:rsidRPr="00E56CB8">
              <w:rPr>
                <w:rFonts w:ascii="Tahoma" w:hAnsi="Tahoma" w:cs="Tahoma"/>
                <w:bCs/>
                <w:lang w:val="en-GB"/>
              </w:rPr>
              <w:t>Movember</w:t>
            </w:r>
            <w:proofErr w:type="spellEnd"/>
            <w:r w:rsidRPr="00E56CB8">
              <w:rPr>
                <w:rFonts w:ascii="Tahoma" w:hAnsi="Tahoma" w:cs="Tahoma"/>
                <w:bCs/>
                <w:lang w:val="en-GB"/>
              </w:rPr>
              <w:t xml:space="preserve"> Europe</w:t>
            </w:r>
          </w:p>
        </w:tc>
      </w:tr>
      <w:tr w:rsidR="005B477F" w:rsidRPr="00E56CB8" w14:paraId="66303151" w14:textId="77777777" w:rsidTr="00EF1B61">
        <w:trPr>
          <w:trHeight w:val="342"/>
        </w:trPr>
        <w:tc>
          <w:tcPr>
            <w:tcW w:w="2410" w:type="dxa"/>
            <w:vAlign w:val="center"/>
          </w:tcPr>
          <w:p w14:paraId="61298527" w14:textId="77777777" w:rsidR="005B477F" w:rsidRPr="00E56CB8" w:rsidRDefault="005B477F" w:rsidP="00C76CC2">
            <w:pPr>
              <w:rPr>
                <w:rFonts w:ascii="Tahoma" w:hAnsi="Tahoma" w:cs="Tahoma"/>
                <w:bCs/>
                <w:lang w:val="en-GB"/>
              </w:rPr>
            </w:pPr>
            <w:r w:rsidRPr="00E56CB8">
              <w:rPr>
                <w:rFonts w:ascii="Tahoma" w:hAnsi="Tahoma" w:cs="Tahoma"/>
                <w:bCs/>
                <w:lang w:val="en-GB"/>
              </w:rPr>
              <w:t>Maximum value:</w:t>
            </w:r>
          </w:p>
        </w:tc>
        <w:tc>
          <w:tcPr>
            <w:tcW w:w="5958" w:type="dxa"/>
            <w:vAlign w:val="center"/>
          </w:tcPr>
          <w:p w14:paraId="10E617EA" w14:textId="77777777" w:rsidR="005B477F" w:rsidRPr="00E56CB8" w:rsidRDefault="005B477F" w:rsidP="00C76CC2">
            <w:pPr>
              <w:rPr>
                <w:rFonts w:ascii="Tahoma" w:hAnsi="Tahoma" w:cs="Tahoma"/>
                <w:lang w:val="en-GB"/>
              </w:rPr>
            </w:pPr>
            <w:r w:rsidRPr="00E56CB8">
              <w:rPr>
                <w:rFonts w:ascii="Tahoma" w:hAnsi="Tahoma" w:cs="Tahoma"/>
                <w:lang w:val="en-GB"/>
              </w:rPr>
              <w:t xml:space="preserve">£ 400,000 </w:t>
            </w:r>
          </w:p>
        </w:tc>
      </w:tr>
      <w:tr w:rsidR="005B477F" w:rsidRPr="00E56CB8" w14:paraId="41DD4948" w14:textId="77777777" w:rsidTr="00EF1B61">
        <w:trPr>
          <w:trHeight w:val="342"/>
        </w:trPr>
        <w:tc>
          <w:tcPr>
            <w:tcW w:w="2410" w:type="dxa"/>
            <w:vAlign w:val="center"/>
          </w:tcPr>
          <w:p w14:paraId="61E0CAF0" w14:textId="77777777" w:rsidR="005B477F" w:rsidRPr="00E56CB8" w:rsidRDefault="005B477F" w:rsidP="00C76CC2">
            <w:pPr>
              <w:rPr>
                <w:rFonts w:ascii="Tahoma" w:hAnsi="Tahoma" w:cs="Tahoma"/>
                <w:bCs/>
                <w:lang w:val="en-GB"/>
              </w:rPr>
            </w:pPr>
            <w:r w:rsidRPr="00E56CB8">
              <w:rPr>
                <w:rFonts w:ascii="Tahoma" w:hAnsi="Tahoma" w:cs="Tahoma"/>
                <w:bCs/>
                <w:lang w:val="en-GB"/>
              </w:rPr>
              <w:t>Application deadline:</w:t>
            </w:r>
          </w:p>
        </w:tc>
        <w:tc>
          <w:tcPr>
            <w:tcW w:w="5958" w:type="dxa"/>
            <w:vAlign w:val="center"/>
          </w:tcPr>
          <w:p w14:paraId="07D64337" w14:textId="77777777" w:rsidR="005B477F" w:rsidRPr="00E56CB8" w:rsidRDefault="005B477F" w:rsidP="00C76CC2">
            <w:pPr>
              <w:rPr>
                <w:rFonts w:ascii="Tahoma" w:hAnsi="Tahoma" w:cs="Tahoma"/>
                <w:lang w:val="en-GB"/>
              </w:rPr>
            </w:pPr>
            <w:r w:rsidRPr="00E56CB8">
              <w:rPr>
                <w:rFonts w:ascii="Tahoma" w:hAnsi="Tahoma" w:cs="Tahoma"/>
                <w:lang w:val="en-GB"/>
              </w:rPr>
              <w:t xml:space="preserve">31/01/2022 </w:t>
            </w:r>
          </w:p>
        </w:tc>
      </w:tr>
    </w:tbl>
    <w:p w14:paraId="615120C0" w14:textId="77777777" w:rsidR="00420E8A" w:rsidRPr="00E56CB8" w:rsidRDefault="00420E8A" w:rsidP="00420E8A">
      <w:pPr>
        <w:rPr>
          <w:rFonts w:ascii="Tahoma" w:hAnsi="Tahoma" w:cs="Tahoma"/>
          <w:lang w:val="en-GB"/>
        </w:rPr>
      </w:pPr>
      <w:r w:rsidRPr="0038647D">
        <w:rPr>
          <w:rFonts w:ascii="Tahoma" w:hAnsi="Tahoma" w:cs="Tahoma"/>
          <w:b/>
          <w:sz w:val="22"/>
          <w:szCs w:val="22"/>
          <w:lang w:val="en-GB"/>
        </w:rPr>
        <w:t>Background</w:t>
      </w:r>
    </w:p>
    <w:p w14:paraId="00625E8A" w14:textId="77777777" w:rsidR="00420E8A" w:rsidRPr="00E56CB8" w:rsidRDefault="00420E8A" w:rsidP="00420E8A">
      <w:pPr>
        <w:rPr>
          <w:rFonts w:ascii="Tahoma" w:hAnsi="Tahoma" w:cs="Tahoma"/>
          <w:lang w:val="en-GB"/>
        </w:rPr>
      </w:pPr>
      <w:r w:rsidRPr="00E56CB8">
        <w:rPr>
          <w:rFonts w:ascii="Tahoma" w:hAnsi="Tahoma" w:cs="Tahoma"/>
          <w:lang w:val="en-GB"/>
        </w:rPr>
        <w:t xml:space="preserve">The Scaling What Works in Our Community and Workplace Grant is provided and administered by </w:t>
      </w:r>
      <w:proofErr w:type="spellStart"/>
      <w:r w:rsidRPr="00E56CB8">
        <w:rPr>
          <w:rFonts w:ascii="Tahoma" w:hAnsi="Tahoma" w:cs="Tahoma"/>
          <w:lang w:val="en-GB"/>
        </w:rPr>
        <w:t>Movember</w:t>
      </w:r>
      <w:proofErr w:type="spellEnd"/>
      <w:r w:rsidRPr="00E56CB8">
        <w:rPr>
          <w:rFonts w:ascii="Tahoma" w:hAnsi="Tahoma" w:cs="Tahoma"/>
          <w:lang w:val="en-GB"/>
        </w:rPr>
        <w:t xml:space="preserve">. </w:t>
      </w:r>
    </w:p>
    <w:p w14:paraId="58D1801D" w14:textId="77777777" w:rsidR="00420E8A" w:rsidRPr="00E56CB8" w:rsidRDefault="00420E8A" w:rsidP="00420E8A">
      <w:pPr>
        <w:rPr>
          <w:rFonts w:ascii="Tahoma" w:hAnsi="Tahoma" w:cs="Tahoma"/>
          <w:lang w:val="en-GB"/>
        </w:rPr>
      </w:pPr>
      <w:proofErr w:type="spellStart"/>
      <w:r w:rsidRPr="00E56CB8">
        <w:rPr>
          <w:rFonts w:ascii="Tahoma" w:hAnsi="Tahoma" w:cs="Tahoma"/>
          <w:lang w:val="en-GB"/>
        </w:rPr>
        <w:t>Movember</w:t>
      </w:r>
      <w:proofErr w:type="spellEnd"/>
      <w:r w:rsidRPr="00E56CB8">
        <w:rPr>
          <w:rFonts w:ascii="Tahoma" w:hAnsi="Tahoma" w:cs="Tahoma"/>
          <w:lang w:val="en-GB"/>
        </w:rPr>
        <w:t xml:space="preserve"> was established in 2003 and has funded more than 1,250 men’s health projects globally. It is committed to investment in evidence-based mental health initiatives, with a focus on prevention and early intervention programmes in communities that are disproportionately affected.</w:t>
      </w:r>
    </w:p>
    <w:p w14:paraId="782CCA46" w14:textId="77777777" w:rsidR="00D85D7F" w:rsidRPr="00E56CB8" w:rsidRDefault="00D85D7F" w:rsidP="00D85D7F">
      <w:pPr>
        <w:rPr>
          <w:rFonts w:ascii="Tahoma" w:hAnsi="Tahoma" w:cs="Tahoma"/>
          <w:b/>
          <w:bCs/>
          <w:lang w:val="en-GB"/>
        </w:rPr>
      </w:pPr>
      <w:r w:rsidRPr="0038647D">
        <w:rPr>
          <w:rFonts w:ascii="Tahoma" w:hAnsi="Tahoma" w:cs="Tahoma"/>
          <w:b/>
          <w:bCs/>
          <w:sz w:val="22"/>
          <w:szCs w:val="22"/>
          <w:lang w:val="en-GB"/>
        </w:rPr>
        <w:t>Objectives of Fund</w:t>
      </w:r>
    </w:p>
    <w:p w14:paraId="6958E3AD" w14:textId="77777777" w:rsidR="00D85D7F" w:rsidRPr="00E56CB8" w:rsidRDefault="00D85D7F" w:rsidP="00D85D7F">
      <w:pPr>
        <w:spacing w:line="210" w:lineRule="atLeast"/>
        <w:rPr>
          <w:rFonts w:ascii="Tahoma" w:hAnsi="Tahoma" w:cs="Tahoma"/>
          <w:lang w:val="en-GB"/>
        </w:rPr>
      </w:pPr>
      <w:r w:rsidRPr="00E56CB8">
        <w:rPr>
          <w:rFonts w:ascii="Tahoma" w:hAnsi="Tahoma" w:cs="Tahoma"/>
          <w:lang w:val="en-GB"/>
        </w:rPr>
        <w:t>This fund aims to support mental health and wellbeing in men and boys (aged 12 and over) by funding initiatives that have already shown promise in improving mental health and suicide prevention. Funding will be awarded to current programmes with an underlying evidence base to strengthen and support project delivery, evidence, and scalability of programme activity.</w:t>
      </w:r>
    </w:p>
    <w:p w14:paraId="1223549E" w14:textId="77777777" w:rsidR="00D85D7F" w:rsidRPr="0038647D" w:rsidRDefault="00D85D7F" w:rsidP="00D85D7F">
      <w:pPr>
        <w:rPr>
          <w:rFonts w:ascii="Tahoma" w:hAnsi="Tahoma" w:cs="Tahoma"/>
          <w:b/>
          <w:bCs/>
          <w:sz w:val="22"/>
          <w:szCs w:val="22"/>
          <w:lang w:val="en-GB"/>
        </w:rPr>
      </w:pPr>
      <w:r w:rsidRPr="0038647D">
        <w:rPr>
          <w:rFonts w:ascii="Tahoma" w:hAnsi="Tahoma" w:cs="Tahoma"/>
          <w:b/>
          <w:bCs/>
          <w:sz w:val="22"/>
          <w:szCs w:val="22"/>
          <w:lang w:val="en-GB"/>
        </w:rPr>
        <w:t>Value Notes</w:t>
      </w:r>
    </w:p>
    <w:p w14:paraId="7071F308" w14:textId="77777777" w:rsidR="00D85D7F" w:rsidRPr="00E56CB8" w:rsidRDefault="00D85D7F" w:rsidP="00D85D7F">
      <w:pPr>
        <w:rPr>
          <w:rFonts w:ascii="Tahoma" w:hAnsi="Tahoma" w:cs="Tahoma"/>
          <w:lang w:val="en-GB"/>
        </w:rPr>
      </w:pPr>
      <w:r w:rsidRPr="00E56CB8">
        <w:rPr>
          <w:rFonts w:ascii="Tahoma" w:hAnsi="Tahoma" w:cs="Tahoma"/>
          <w:lang w:val="en-GB"/>
        </w:rPr>
        <w:t xml:space="preserve">A total of £2.4 million is available to be awarded across 12 initiatives. </w:t>
      </w:r>
    </w:p>
    <w:p w14:paraId="5E857E9A" w14:textId="77777777" w:rsidR="00D85D7F" w:rsidRPr="00E56CB8" w:rsidRDefault="00D85D7F" w:rsidP="00D85D7F">
      <w:pPr>
        <w:rPr>
          <w:rFonts w:ascii="Tahoma" w:hAnsi="Tahoma" w:cs="Tahoma"/>
          <w:lang w:val="en-GB"/>
        </w:rPr>
      </w:pPr>
      <w:r w:rsidRPr="00E56CB8">
        <w:rPr>
          <w:rFonts w:ascii="Tahoma" w:hAnsi="Tahoma" w:cs="Tahoma"/>
          <w:lang w:val="en-GB"/>
        </w:rPr>
        <w:t xml:space="preserve">Grants of between £200,000 and £400,000 are available. </w:t>
      </w:r>
    </w:p>
    <w:p w14:paraId="4256CE29" w14:textId="77777777" w:rsidR="00D85D7F" w:rsidRPr="00E56CB8" w:rsidRDefault="00D85D7F" w:rsidP="00D85D7F">
      <w:pPr>
        <w:rPr>
          <w:rFonts w:ascii="Tahoma" w:hAnsi="Tahoma" w:cs="Tahoma"/>
          <w:lang w:val="en-GB"/>
        </w:rPr>
      </w:pPr>
      <w:r w:rsidRPr="00E56CB8">
        <w:rPr>
          <w:rFonts w:ascii="Tahoma" w:hAnsi="Tahoma" w:cs="Tahoma"/>
          <w:lang w:val="en-GB"/>
        </w:rPr>
        <w:t>Funding will be awarded in tranches based on milestone delivery.</w:t>
      </w:r>
    </w:p>
    <w:p w14:paraId="172FCA2C" w14:textId="77777777" w:rsidR="00D85D7F" w:rsidRPr="00E56CB8" w:rsidRDefault="00D85D7F" w:rsidP="00D85D7F">
      <w:pPr>
        <w:rPr>
          <w:rFonts w:ascii="Tahoma" w:hAnsi="Tahoma" w:cs="Tahoma"/>
          <w:b/>
          <w:bCs/>
          <w:lang w:val="en-GB"/>
        </w:rPr>
      </w:pPr>
      <w:r w:rsidRPr="0038647D">
        <w:rPr>
          <w:rFonts w:ascii="Tahoma" w:hAnsi="Tahoma" w:cs="Tahoma"/>
          <w:b/>
          <w:bCs/>
          <w:sz w:val="22"/>
          <w:szCs w:val="22"/>
          <w:lang w:val="en-GB"/>
        </w:rPr>
        <w:t>Match Funding Restrictions</w:t>
      </w:r>
    </w:p>
    <w:p w14:paraId="1F6BB435" w14:textId="77777777" w:rsidR="00D85D7F" w:rsidRPr="00E56CB8" w:rsidRDefault="00D85D7F" w:rsidP="00D85D7F">
      <w:pPr>
        <w:rPr>
          <w:rFonts w:ascii="Tahoma" w:hAnsi="Tahoma" w:cs="Tahoma"/>
          <w:lang w:val="en-GB"/>
        </w:rPr>
      </w:pPr>
      <w:r w:rsidRPr="00E56CB8">
        <w:rPr>
          <w:rFonts w:ascii="Tahoma" w:hAnsi="Tahoma" w:cs="Tahoma"/>
          <w:lang w:val="en-GB"/>
        </w:rPr>
        <w:t>Match funding is not required. However, initiatives that can demonstrate the ability to attract other funding sources will be favourably considered.</w:t>
      </w:r>
    </w:p>
    <w:p w14:paraId="01ED0DE7" w14:textId="77777777" w:rsidR="00D85D7F" w:rsidRPr="00E56CB8" w:rsidRDefault="00D85D7F" w:rsidP="00D85D7F">
      <w:pPr>
        <w:rPr>
          <w:rFonts w:ascii="Tahoma" w:hAnsi="Tahoma" w:cs="Tahoma"/>
          <w:b/>
          <w:bCs/>
          <w:lang w:val="en-GB"/>
        </w:rPr>
      </w:pPr>
      <w:r w:rsidRPr="0038647D">
        <w:rPr>
          <w:rFonts w:ascii="Tahoma" w:hAnsi="Tahoma" w:cs="Tahoma"/>
          <w:b/>
          <w:bCs/>
          <w:sz w:val="22"/>
          <w:szCs w:val="22"/>
          <w:lang w:val="en-GB"/>
        </w:rPr>
        <w:t xml:space="preserve">Who Can </w:t>
      </w:r>
      <w:proofErr w:type="gramStart"/>
      <w:r w:rsidRPr="0038647D">
        <w:rPr>
          <w:rFonts w:ascii="Tahoma" w:hAnsi="Tahoma" w:cs="Tahoma"/>
          <w:b/>
          <w:bCs/>
          <w:sz w:val="22"/>
          <w:szCs w:val="22"/>
          <w:lang w:val="en-GB"/>
        </w:rPr>
        <w:t>Apply</w:t>
      </w:r>
      <w:proofErr w:type="gramEnd"/>
    </w:p>
    <w:p w14:paraId="7E3B16AE" w14:textId="77777777" w:rsidR="00D85D7F" w:rsidRPr="00E56CB8" w:rsidRDefault="00D85D7F" w:rsidP="00D85D7F">
      <w:pPr>
        <w:rPr>
          <w:rFonts w:ascii="Tahoma" w:hAnsi="Tahoma" w:cs="Tahoma"/>
          <w:lang w:val="en-GB"/>
        </w:rPr>
      </w:pPr>
      <w:r w:rsidRPr="00E56CB8">
        <w:rPr>
          <w:rFonts w:ascii="Tahoma" w:hAnsi="Tahoma" w:cs="Tahoma"/>
          <w:lang w:val="en-GB"/>
        </w:rPr>
        <w:t xml:space="preserve">Organisations undertaking mental health initiatives within a community or workplace setting with a focus on male mental health can apply. </w:t>
      </w:r>
    </w:p>
    <w:p w14:paraId="3BE20128" w14:textId="77777777" w:rsidR="00D85D7F" w:rsidRPr="00E56CB8" w:rsidRDefault="00D85D7F" w:rsidP="00D85D7F">
      <w:pPr>
        <w:rPr>
          <w:rFonts w:ascii="Tahoma" w:hAnsi="Tahoma" w:cs="Tahoma"/>
          <w:lang w:val="en-GB"/>
        </w:rPr>
      </w:pPr>
      <w:r w:rsidRPr="00E56CB8">
        <w:rPr>
          <w:rFonts w:ascii="Tahoma" w:hAnsi="Tahoma" w:cs="Tahoma"/>
          <w:lang w:val="en-GB"/>
        </w:rPr>
        <w:lastRenderedPageBreak/>
        <w:t xml:space="preserve">Eligible initiatives must be able to demonstrate: </w:t>
      </w:r>
    </w:p>
    <w:p w14:paraId="68533452"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That any funding received will deliver a scaled uplift of the reach and impact of an initiative that is demonstrating positive mental health or suicide prevention outcomes.</w:t>
      </w:r>
    </w:p>
    <w:p w14:paraId="5B0B10FE"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That the initiative focuses on prevention and/or early intervention and incorporates a gendered lens to improve mental health and wealth being in one or more of the targeted groups.</w:t>
      </w:r>
    </w:p>
    <w:p w14:paraId="5297CCFE"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An underlying evidence base with supporting information, such as publications or research reports (upon request).</w:t>
      </w:r>
    </w:p>
    <w:p w14:paraId="24A01B9E"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Evidence that the initiative is achieving the desired outcomes.</w:t>
      </w:r>
    </w:p>
    <w:p w14:paraId="2D505318"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A commitment to support robust evaluation.</w:t>
      </w:r>
    </w:p>
    <w:p w14:paraId="7D907943" w14:textId="77777777" w:rsidR="00A67841" w:rsidRPr="00E56CB8" w:rsidRDefault="00A67841" w:rsidP="00A67841">
      <w:pPr>
        <w:keepNext/>
        <w:rPr>
          <w:rFonts w:ascii="Tahoma" w:hAnsi="Tahoma" w:cs="Tahoma"/>
          <w:b/>
          <w:bCs/>
          <w:lang w:val="en-GB"/>
        </w:rPr>
      </w:pPr>
      <w:r w:rsidRPr="0038647D">
        <w:rPr>
          <w:rFonts w:ascii="Tahoma" w:hAnsi="Tahoma" w:cs="Tahoma"/>
          <w:b/>
          <w:bCs/>
          <w:sz w:val="22"/>
          <w:szCs w:val="22"/>
          <w:lang w:val="en-GB"/>
        </w:rPr>
        <w:t>Location</w:t>
      </w:r>
    </w:p>
    <w:p w14:paraId="2A88EC5D" w14:textId="77777777" w:rsidR="00A67841" w:rsidRPr="00E56CB8" w:rsidRDefault="00A67841" w:rsidP="00A67841">
      <w:pPr>
        <w:rPr>
          <w:rFonts w:ascii="Tahoma" w:hAnsi="Tahoma" w:cs="Tahoma"/>
          <w:lang w:val="en-GB"/>
        </w:rPr>
      </w:pPr>
      <w:r w:rsidRPr="00E56CB8">
        <w:rPr>
          <w:rFonts w:ascii="Tahoma" w:hAnsi="Tahoma" w:cs="Tahoma"/>
          <w:lang w:val="en-GB"/>
        </w:rPr>
        <w:t>United Kingdom.</w:t>
      </w:r>
    </w:p>
    <w:p w14:paraId="61E06A59" w14:textId="77777777" w:rsidR="00D85D7F" w:rsidRPr="00E56CB8" w:rsidRDefault="00D85D7F" w:rsidP="00D85D7F">
      <w:pPr>
        <w:rPr>
          <w:rFonts w:ascii="Tahoma" w:hAnsi="Tahoma" w:cs="Tahoma"/>
          <w:b/>
          <w:bCs/>
          <w:lang w:val="en-GB"/>
        </w:rPr>
      </w:pPr>
      <w:r w:rsidRPr="0038647D">
        <w:rPr>
          <w:rFonts w:ascii="Tahoma" w:hAnsi="Tahoma" w:cs="Tahoma"/>
          <w:b/>
          <w:bCs/>
          <w:sz w:val="22"/>
          <w:szCs w:val="22"/>
          <w:lang w:val="en-GB"/>
        </w:rPr>
        <w:t>Restrictions</w:t>
      </w:r>
    </w:p>
    <w:p w14:paraId="795CCBDE" w14:textId="77777777" w:rsidR="00D85D7F" w:rsidRPr="00E56CB8" w:rsidRDefault="00D85D7F" w:rsidP="00D85D7F">
      <w:pPr>
        <w:rPr>
          <w:rFonts w:ascii="Tahoma" w:hAnsi="Tahoma" w:cs="Tahoma"/>
          <w:lang w:val="en-GB"/>
        </w:rPr>
      </w:pPr>
      <w:r w:rsidRPr="00E56CB8">
        <w:rPr>
          <w:rFonts w:ascii="Tahoma" w:hAnsi="Tahoma" w:cs="Tahoma"/>
          <w:lang w:val="en-GB"/>
        </w:rPr>
        <w:t xml:space="preserve">The following are not eligible for funding: </w:t>
      </w:r>
    </w:p>
    <w:p w14:paraId="7806074B"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Activities not aligned with the goals of this fund.</w:t>
      </w:r>
    </w:p>
    <w:p w14:paraId="1A52CDFF"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Concepts that are currently not operating in the real world.</w:t>
      </w:r>
    </w:p>
    <w:p w14:paraId="75B56BF3"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Services such as one-on-one therapy, crisis support and counselling, or acute psychiatric services.</w:t>
      </w:r>
    </w:p>
    <w:p w14:paraId="4BFB51F2"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Research positions or scholarships for universities and research institutions.</w:t>
      </w:r>
    </w:p>
    <w:p w14:paraId="038396BF"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Awareness and educational activities that do not specify and provide a clear and measurable link to improved mental health in the target groups.</w:t>
      </w:r>
    </w:p>
    <w:p w14:paraId="6A3ACB17"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Activities that rely on motivational speakers or are for informal, one-off sessions.</w:t>
      </w:r>
    </w:p>
    <w:p w14:paraId="6C8E29EA"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Activities that are not based on scientific principles or mechanisms.</w:t>
      </w:r>
    </w:p>
    <w:p w14:paraId="24EAD9D0"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Activities that have not been designed or implemented in a way that can be tested.</w:t>
      </w:r>
    </w:p>
    <w:p w14:paraId="60B2D84D"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Overhead costs, including accounting fees, insurance, interest, legal fees, taxes, utilities, and costs associated with construction and renovation.</w:t>
      </w:r>
    </w:p>
    <w:p w14:paraId="4820F6B6"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Tuition and professional membership dues.</w:t>
      </w:r>
    </w:p>
    <w:p w14:paraId="33A57DCF"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Secondary grants and awards.</w:t>
      </w:r>
    </w:p>
    <w:p w14:paraId="6ED831EF" w14:textId="77777777" w:rsidR="00D85D7F" w:rsidRPr="00E56CB8" w:rsidRDefault="00D85D7F" w:rsidP="00D85D7F">
      <w:pPr>
        <w:rPr>
          <w:rFonts w:ascii="Tahoma" w:hAnsi="Tahoma" w:cs="Tahoma"/>
          <w:b/>
          <w:bCs/>
          <w:lang w:val="en-GB"/>
        </w:rPr>
      </w:pPr>
      <w:r w:rsidRPr="0038647D">
        <w:rPr>
          <w:rFonts w:ascii="Tahoma" w:hAnsi="Tahoma" w:cs="Tahoma"/>
          <w:b/>
          <w:bCs/>
          <w:sz w:val="22"/>
          <w:szCs w:val="22"/>
          <w:lang w:val="en-GB"/>
        </w:rPr>
        <w:t>Eligible Expenditure</w:t>
      </w:r>
    </w:p>
    <w:p w14:paraId="77007F74" w14:textId="77777777" w:rsidR="00D85D7F" w:rsidRPr="00E56CB8" w:rsidRDefault="00D85D7F" w:rsidP="00D85D7F">
      <w:pPr>
        <w:rPr>
          <w:rFonts w:ascii="Tahoma" w:hAnsi="Tahoma" w:cs="Tahoma"/>
          <w:lang w:val="en-GB"/>
        </w:rPr>
      </w:pPr>
      <w:r w:rsidRPr="00E56CB8">
        <w:rPr>
          <w:rFonts w:ascii="Tahoma" w:hAnsi="Tahoma" w:cs="Tahoma"/>
          <w:lang w:val="en-GB"/>
        </w:rPr>
        <w:t xml:space="preserve">Funding will be awarded to initiatives that take a prevention and/or early intervention perspective and incorporate a gendered lens to improve mental health and wellbeing in communities or workplaces. </w:t>
      </w:r>
    </w:p>
    <w:p w14:paraId="6926790D" w14:textId="77777777" w:rsidR="00D85D7F" w:rsidRPr="00E56CB8" w:rsidRDefault="00D85D7F" w:rsidP="00D85D7F">
      <w:pPr>
        <w:rPr>
          <w:rFonts w:ascii="Tahoma" w:hAnsi="Tahoma" w:cs="Tahoma"/>
          <w:lang w:val="en-GB"/>
        </w:rPr>
      </w:pPr>
      <w:r w:rsidRPr="00E56CB8">
        <w:rPr>
          <w:rFonts w:ascii="Tahoma" w:hAnsi="Tahoma" w:cs="Tahoma"/>
          <w:lang w:val="en-GB"/>
        </w:rPr>
        <w:t xml:space="preserve">Target audiences include, but are not limited to, men and boys from the following audiences: </w:t>
      </w:r>
    </w:p>
    <w:p w14:paraId="03FEE7EE"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Cultural and linguistically diverse (CALD) communities.</w:t>
      </w:r>
    </w:p>
    <w:p w14:paraId="651440C4"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Regional and remote communities.</w:t>
      </w:r>
    </w:p>
    <w:p w14:paraId="55059EF4"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GBTQI communities.</w:t>
      </w:r>
    </w:p>
    <w:p w14:paraId="53AFEB3A"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Socially disadvantaged communities.</w:t>
      </w:r>
    </w:p>
    <w:p w14:paraId="1EE00230"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High-risk occupations, such as construction, mining, and low skilled workers.</w:t>
      </w:r>
    </w:p>
    <w:p w14:paraId="12C0B76B"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Those experiencing or at risk of substance misuse, abuse, and addiction.</w:t>
      </w:r>
    </w:p>
    <w:p w14:paraId="06493E65"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Those experiencing or at risk of gambling addiction and problem gambling.</w:t>
      </w:r>
    </w:p>
    <w:p w14:paraId="42EB56D9"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Those experiencing unemployment or underemployment.</w:t>
      </w:r>
    </w:p>
    <w:p w14:paraId="596F9879" w14:textId="77777777" w:rsidR="00910BF1" w:rsidRPr="00E56CB8" w:rsidRDefault="00910BF1" w:rsidP="00910BF1">
      <w:pPr>
        <w:rPr>
          <w:rFonts w:ascii="Tahoma" w:hAnsi="Tahoma" w:cs="Tahoma"/>
          <w:lang w:val="en-GB"/>
        </w:rPr>
      </w:pPr>
      <w:r w:rsidRPr="00E56CB8">
        <w:rPr>
          <w:rFonts w:ascii="Tahoma" w:hAnsi="Tahoma" w:cs="Tahoma"/>
          <w:lang w:val="en-GB"/>
        </w:rPr>
        <w:t xml:space="preserve">Eligible activities must: </w:t>
      </w:r>
    </w:p>
    <w:p w14:paraId="29394B66"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Be an existing programme operating in the real world, not an idea or concept.</w:t>
      </w:r>
    </w:p>
    <w:p w14:paraId="160E620C"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lastRenderedPageBreak/>
        <w:t>Have a specified outcome for which the efficacy and effectiveness can be measured, such as a reduction in mental health symptoms or improved literacy.</w:t>
      </w:r>
    </w:p>
    <w:p w14:paraId="40D41F9B"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Have testable goals.</w:t>
      </w:r>
    </w:p>
    <w:p w14:paraId="24CD4E75"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Have adequate referral pathways/signposting to support from mental health professionals.</w:t>
      </w:r>
    </w:p>
    <w:p w14:paraId="7347AD7A" w14:textId="77777777" w:rsidR="00910BF1" w:rsidRPr="00E56CB8" w:rsidRDefault="00910BF1" w:rsidP="00910BF1">
      <w:pPr>
        <w:rPr>
          <w:rFonts w:ascii="Tahoma" w:hAnsi="Tahoma" w:cs="Tahoma"/>
          <w:lang w:val="en-GB"/>
        </w:rPr>
      </w:pPr>
      <w:r w:rsidRPr="00E56CB8">
        <w:rPr>
          <w:rFonts w:ascii="Tahoma" w:hAnsi="Tahoma" w:cs="Tahoma"/>
          <w:lang w:val="en-GB"/>
        </w:rPr>
        <w:t xml:space="preserve">Eligible costs include: </w:t>
      </w:r>
    </w:p>
    <w:p w14:paraId="1FD70C65"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Direct programme-related costs, including supplies, expenses, travel, and equipment.</w:t>
      </w:r>
    </w:p>
    <w:p w14:paraId="180347E6"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Relevant proportions of salaries of project or programme managers, technicians, administrative staff, and other personnel.</w:t>
      </w:r>
    </w:p>
    <w:p w14:paraId="50EA07CA"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Indirect costs up to 10% of the total budget (for community organisations only).</w:t>
      </w:r>
    </w:p>
    <w:p w14:paraId="3D39A3EE" w14:textId="77777777" w:rsidR="00910BF1" w:rsidRPr="00E56CB8" w:rsidRDefault="00910BF1" w:rsidP="00910BF1">
      <w:pPr>
        <w:rPr>
          <w:rFonts w:ascii="Tahoma" w:hAnsi="Tahoma" w:cs="Tahoma"/>
          <w:lang w:val="en-GB"/>
        </w:rPr>
      </w:pPr>
      <w:r w:rsidRPr="00E56CB8">
        <w:rPr>
          <w:rFonts w:ascii="Tahoma" w:hAnsi="Tahoma" w:cs="Tahoma"/>
          <w:lang w:val="en-GB"/>
        </w:rPr>
        <w:t xml:space="preserve">Applications should demonstrate that funding will deliver a scaled reach of an initiative, and not simply fund already planned activity. </w:t>
      </w:r>
    </w:p>
    <w:p w14:paraId="6752A93D" w14:textId="77777777" w:rsidR="00D85D7F" w:rsidRPr="00E56CB8" w:rsidRDefault="00910BF1" w:rsidP="00910BF1">
      <w:pPr>
        <w:rPr>
          <w:rFonts w:ascii="Tahoma" w:hAnsi="Tahoma" w:cs="Tahoma"/>
          <w:lang w:val="en-GB"/>
        </w:rPr>
      </w:pPr>
      <w:r w:rsidRPr="00E56CB8">
        <w:rPr>
          <w:rFonts w:ascii="Tahoma" w:hAnsi="Tahoma" w:cs="Tahoma"/>
          <w:lang w:val="en-GB"/>
        </w:rPr>
        <w:t>Proposed activities should commence 1 September 2022 and be completed by 31 August 2024.</w:t>
      </w:r>
    </w:p>
    <w:p w14:paraId="693389CF" w14:textId="77777777" w:rsidR="00D85D7F" w:rsidRPr="00E56CB8" w:rsidRDefault="00D85D7F" w:rsidP="00D85D7F">
      <w:pPr>
        <w:keepNext/>
        <w:rPr>
          <w:rFonts w:ascii="Tahoma" w:hAnsi="Tahoma" w:cs="Tahoma"/>
          <w:b/>
          <w:bCs/>
          <w:lang w:val="en-GB"/>
        </w:rPr>
      </w:pPr>
      <w:r w:rsidRPr="0038647D">
        <w:rPr>
          <w:rFonts w:ascii="Tahoma" w:hAnsi="Tahoma" w:cs="Tahoma"/>
          <w:b/>
          <w:bCs/>
          <w:sz w:val="22"/>
          <w:szCs w:val="22"/>
          <w:lang w:val="en-GB"/>
        </w:rPr>
        <w:t xml:space="preserve">How </w:t>
      </w:r>
      <w:proofErr w:type="gramStart"/>
      <w:r w:rsidRPr="0038647D">
        <w:rPr>
          <w:rFonts w:ascii="Tahoma" w:hAnsi="Tahoma" w:cs="Tahoma"/>
          <w:b/>
          <w:bCs/>
          <w:sz w:val="22"/>
          <w:szCs w:val="22"/>
          <w:lang w:val="en-GB"/>
        </w:rPr>
        <w:t>To</w:t>
      </w:r>
      <w:proofErr w:type="gramEnd"/>
      <w:r w:rsidRPr="0038647D">
        <w:rPr>
          <w:rFonts w:ascii="Tahoma" w:hAnsi="Tahoma" w:cs="Tahoma"/>
          <w:b/>
          <w:bCs/>
          <w:sz w:val="22"/>
          <w:szCs w:val="22"/>
          <w:lang w:val="en-GB"/>
        </w:rPr>
        <w:t xml:space="preserve"> Apply</w:t>
      </w:r>
    </w:p>
    <w:p w14:paraId="793AC5AE" w14:textId="77777777" w:rsidR="00D85D7F" w:rsidRPr="00E56CB8" w:rsidRDefault="00D85D7F" w:rsidP="00D85D7F">
      <w:pPr>
        <w:rPr>
          <w:rFonts w:ascii="Tahoma" w:hAnsi="Tahoma" w:cs="Tahoma"/>
          <w:lang w:val="en-GB"/>
        </w:rPr>
      </w:pPr>
      <w:r w:rsidRPr="00E56CB8">
        <w:rPr>
          <w:rFonts w:ascii="Tahoma" w:hAnsi="Tahoma" w:cs="Tahoma"/>
          <w:lang w:val="en-GB"/>
        </w:rPr>
        <w:t xml:space="preserve">There is a two-stage application process: </w:t>
      </w:r>
    </w:p>
    <w:p w14:paraId="5EBE8B3C"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Applicants must first submit a letter of intent.</w:t>
      </w:r>
    </w:p>
    <w:p w14:paraId="4EF073B5"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Successful applicants will then be invited to complete a full application.</w:t>
      </w:r>
    </w:p>
    <w:p w14:paraId="7993CAB4" w14:textId="77777777" w:rsidR="00910BF1" w:rsidRPr="00E56CB8" w:rsidRDefault="00910BF1" w:rsidP="00910BF1">
      <w:pPr>
        <w:rPr>
          <w:rFonts w:ascii="Tahoma" w:hAnsi="Tahoma" w:cs="Tahoma"/>
          <w:lang w:val="en-GB"/>
        </w:rPr>
      </w:pPr>
      <w:r w:rsidRPr="00E56CB8">
        <w:rPr>
          <w:rFonts w:ascii="Tahoma" w:hAnsi="Tahoma" w:cs="Tahoma"/>
          <w:lang w:val="en-GB"/>
        </w:rPr>
        <w:t xml:space="preserve">The key 2022 dates are: </w:t>
      </w:r>
    </w:p>
    <w:p w14:paraId="35D4676F"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31 January – Deadline for letters of intent.</w:t>
      </w:r>
    </w:p>
    <w:p w14:paraId="3090D389"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7 March – Notification of invitation to submit a full application.</w:t>
      </w:r>
    </w:p>
    <w:p w14:paraId="3F0FE9D0" w14:textId="77777777" w:rsidR="00910BF1" w:rsidRPr="00E56CB8" w:rsidRDefault="00910BF1" w:rsidP="00910BF1">
      <w:pPr>
        <w:numPr>
          <w:ilvl w:val="0"/>
          <w:numId w:val="27"/>
        </w:numPr>
        <w:rPr>
          <w:rFonts w:ascii="Tahoma" w:hAnsi="Tahoma" w:cs="Tahoma"/>
          <w:lang w:val="en-GB"/>
        </w:rPr>
      </w:pPr>
      <w:r w:rsidRPr="00E56CB8">
        <w:rPr>
          <w:rFonts w:ascii="Tahoma" w:hAnsi="Tahoma" w:cs="Tahoma"/>
          <w:lang w:val="en-GB"/>
        </w:rPr>
        <w:t>7 April – Deadline for full applications.</w:t>
      </w:r>
    </w:p>
    <w:p w14:paraId="6089AF7F" w14:textId="77777777" w:rsidR="00910BF1" w:rsidRPr="00E56CB8" w:rsidRDefault="00910BF1" w:rsidP="00910BF1">
      <w:pPr>
        <w:rPr>
          <w:rFonts w:ascii="Tahoma" w:hAnsi="Tahoma" w:cs="Tahoma"/>
          <w:lang w:val="en-GB"/>
        </w:rPr>
      </w:pPr>
      <w:r w:rsidRPr="00E56CB8">
        <w:rPr>
          <w:rFonts w:ascii="Tahoma" w:hAnsi="Tahoma" w:cs="Tahoma"/>
          <w:lang w:val="en-GB"/>
        </w:rPr>
        <w:t xml:space="preserve">Applicants will receive a decision regarding full applications in the week commencing 13 June 2022. </w:t>
      </w:r>
    </w:p>
    <w:p w14:paraId="1D1E7A4C" w14:textId="77777777" w:rsidR="00D85D7F" w:rsidRPr="00E56CB8" w:rsidRDefault="00910BF1" w:rsidP="00910BF1">
      <w:pPr>
        <w:rPr>
          <w:rFonts w:ascii="Tahoma" w:hAnsi="Tahoma" w:cs="Tahoma"/>
          <w:lang w:val="en-GB"/>
        </w:rPr>
      </w:pPr>
      <w:r w:rsidRPr="00E56CB8">
        <w:rPr>
          <w:rFonts w:ascii="Tahoma" w:hAnsi="Tahoma" w:cs="Tahoma"/>
          <w:lang w:val="en-GB"/>
        </w:rPr>
        <w:t xml:space="preserve">Guidance notes and an online application form are available from the </w:t>
      </w:r>
      <w:proofErr w:type="spellStart"/>
      <w:r w:rsidRPr="00E56CB8">
        <w:rPr>
          <w:rFonts w:ascii="Tahoma" w:hAnsi="Tahoma" w:cs="Tahoma"/>
          <w:lang w:val="en-GB"/>
        </w:rPr>
        <w:t>Movember</w:t>
      </w:r>
      <w:proofErr w:type="spellEnd"/>
      <w:r w:rsidRPr="00E56CB8">
        <w:rPr>
          <w:rFonts w:ascii="Tahoma" w:hAnsi="Tahoma" w:cs="Tahoma"/>
          <w:lang w:val="en-GB"/>
        </w:rPr>
        <w:t xml:space="preserve"> website.</w:t>
      </w:r>
    </w:p>
    <w:p w14:paraId="35468350" w14:textId="77777777" w:rsidR="00DF406E" w:rsidRPr="00E56CB8" w:rsidRDefault="00253DD5" w:rsidP="00D85D7F">
      <w:pPr>
        <w:keepNext/>
        <w:rPr>
          <w:rFonts w:ascii="Tahoma" w:hAnsi="Tahoma" w:cs="Tahoma"/>
          <w:b/>
          <w:bCs/>
          <w:sz w:val="24"/>
          <w:szCs w:val="24"/>
          <w:lang w:val="en-GB"/>
        </w:rPr>
      </w:pPr>
      <w:r w:rsidRPr="0038647D">
        <w:rPr>
          <w:rFonts w:ascii="Tahoma" w:hAnsi="Tahoma" w:cs="Tahoma"/>
          <w:b/>
          <w:bCs/>
          <w:sz w:val="22"/>
          <w:szCs w:val="22"/>
          <w:lang w:val="en-GB"/>
        </w:rPr>
        <w:t xml:space="preserve">Useful </w:t>
      </w:r>
      <w:r w:rsidR="00E84868" w:rsidRPr="0038647D">
        <w:rPr>
          <w:rFonts w:ascii="Tahoma" w:hAnsi="Tahoma" w:cs="Tahoma"/>
          <w:b/>
          <w:bCs/>
          <w:sz w:val="22"/>
          <w:szCs w:val="22"/>
          <w:lang w:val="en-GB"/>
        </w:rPr>
        <w:t>l</w:t>
      </w:r>
      <w:r w:rsidRPr="0038647D">
        <w:rPr>
          <w:rFonts w:ascii="Tahoma" w:hAnsi="Tahoma" w:cs="Tahoma"/>
          <w:b/>
          <w:bCs/>
          <w:sz w:val="22"/>
          <w:szCs w:val="22"/>
          <w:lang w:val="en-GB"/>
        </w:rPr>
        <w:t>inks</w:t>
      </w:r>
    </w:p>
    <w:p w14:paraId="6D285566" w14:textId="77777777" w:rsidR="00A77BA8" w:rsidRPr="00E56CB8" w:rsidRDefault="002C1400" w:rsidP="00A77BA8">
      <w:pPr>
        <w:rPr>
          <w:rFonts w:ascii="Tahoma" w:hAnsi="Tahoma" w:cs="Tahoma"/>
          <w:lang w:val="en-GB"/>
        </w:rPr>
      </w:pPr>
      <w:proofErr w:type="spellStart"/>
      <w:r w:rsidRPr="00E56CB8">
        <w:rPr>
          <w:rFonts w:ascii="Tahoma" w:hAnsi="Tahoma" w:cs="Tahoma"/>
          <w:bCs/>
          <w:sz w:val="20"/>
          <w:szCs w:val="20"/>
          <w:lang w:val="en-GB"/>
        </w:rPr>
        <w:t>Movember</w:t>
      </w:r>
      <w:proofErr w:type="spellEnd"/>
      <w:r w:rsidRPr="00E56CB8">
        <w:rPr>
          <w:rFonts w:ascii="Tahoma" w:hAnsi="Tahoma" w:cs="Tahoma"/>
          <w:bCs/>
          <w:sz w:val="20"/>
          <w:szCs w:val="20"/>
          <w:lang w:val="en-GB"/>
        </w:rPr>
        <w:t xml:space="preserve"> - Scaling What Works in Community and Workplace Grant</w:t>
      </w:r>
      <w:r w:rsidRPr="00E56CB8">
        <w:rPr>
          <w:rFonts w:ascii="Tahoma" w:hAnsi="Tahoma" w:cs="Tahoma"/>
          <w:lang w:val="en-GB"/>
        </w:rPr>
        <w:br/>
      </w:r>
      <w:hyperlink r:id="rId10" w:history="1">
        <w:r w:rsidRPr="00E56CB8">
          <w:rPr>
            <w:rStyle w:val="Hyperlink"/>
            <w:rFonts w:ascii="Tahoma" w:hAnsi="Tahoma" w:cs="Tahoma"/>
            <w:color w:val="auto"/>
            <w:lang w:val="en-GB"/>
          </w:rPr>
          <w:t>https://uk.movember.com/about/scaling-what-works-grants</w:t>
        </w:r>
      </w:hyperlink>
    </w:p>
    <w:p w14:paraId="3F6112E1" w14:textId="77777777" w:rsidR="00A67841" w:rsidRPr="0038647D" w:rsidRDefault="00A67841" w:rsidP="00EC442B">
      <w:pPr>
        <w:keepNext/>
        <w:spacing w:after="0" w:afterAutospacing="0"/>
        <w:rPr>
          <w:rFonts w:ascii="Tahoma" w:hAnsi="Tahoma" w:cs="Tahoma"/>
          <w:b/>
          <w:bCs/>
          <w:sz w:val="22"/>
          <w:szCs w:val="22"/>
          <w:lang w:val="en-GB"/>
        </w:rPr>
      </w:pPr>
      <w:r w:rsidRPr="0038647D">
        <w:rPr>
          <w:rFonts w:ascii="Tahoma" w:hAnsi="Tahoma" w:cs="Tahoma"/>
          <w:b/>
          <w:bCs/>
          <w:sz w:val="22"/>
          <w:szCs w:val="22"/>
          <w:lang w:val="en-GB"/>
        </w:rPr>
        <w:t>Addresses and</w:t>
      </w:r>
      <w:r w:rsidR="00E84868" w:rsidRPr="0038647D">
        <w:rPr>
          <w:rFonts w:ascii="Tahoma" w:hAnsi="Tahoma" w:cs="Tahoma"/>
          <w:b/>
          <w:bCs/>
          <w:sz w:val="22"/>
          <w:szCs w:val="22"/>
          <w:lang w:val="en-GB"/>
        </w:rPr>
        <w:t xml:space="preserve"> c</w:t>
      </w:r>
      <w:r w:rsidR="005D1AF9" w:rsidRPr="0038647D">
        <w:rPr>
          <w:rFonts w:ascii="Tahoma" w:hAnsi="Tahoma" w:cs="Tahoma"/>
          <w:b/>
          <w:bCs/>
          <w:sz w:val="22"/>
          <w:szCs w:val="22"/>
          <w:lang w:val="en-GB"/>
        </w:rPr>
        <w:t>ontacts</w:t>
      </w:r>
    </w:p>
    <w:p w14:paraId="0A1E2014" w14:textId="77777777" w:rsidR="00EC442B" w:rsidRPr="00E56CB8" w:rsidRDefault="00A67841" w:rsidP="00EC442B">
      <w:pPr>
        <w:keepNext/>
        <w:spacing w:after="0" w:afterAutospacing="0"/>
        <w:rPr>
          <w:rFonts w:ascii="Tahoma" w:hAnsi="Tahoma" w:cs="Tahoma"/>
          <w:lang w:val="en-GB"/>
        </w:rPr>
      </w:pPr>
      <w:r w:rsidRPr="00E56CB8">
        <w:rPr>
          <w:rFonts w:ascii="Tahoma" w:hAnsi="Tahoma" w:cs="Tahoma"/>
          <w:lang w:val="en-GB"/>
        </w:rPr>
        <w:t xml:space="preserve">For further information on how to obtain this </w:t>
      </w:r>
      <w:r w:rsidR="00E84868" w:rsidRPr="00E56CB8">
        <w:rPr>
          <w:rFonts w:ascii="Tahoma" w:hAnsi="Tahoma" w:cs="Tahoma"/>
          <w:lang w:val="en-GB"/>
        </w:rPr>
        <w:t>grant</w:t>
      </w:r>
      <w:r w:rsidRPr="00E56CB8">
        <w:rPr>
          <w:rFonts w:ascii="Tahoma" w:hAnsi="Tahoma" w:cs="Tahoma"/>
          <w:lang w:val="en-GB"/>
        </w:rPr>
        <w:t xml:space="preserve"> locally, please contact the following:</w:t>
      </w:r>
    </w:p>
    <w:p w14:paraId="40C146AE" w14:textId="77777777" w:rsidR="002126D9" w:rsidRPr="00E56CB8" w:rsidRDefault="00EC442B" w:rsidP="00093680">
      <w:pPr>
        <w:keepNext/>
        <w:spacing w:before="0" w:beforeAutospacing="0" w:after="0" w:afterAutospacing="0"/>
        <w:rPr>
          <w:rFonts w:ascii="Tahoma" w:hAnsi="Tahoma" w:cs="Tahoma"/>
          <w:lang w:val="en-GB"/>
        </w:rPr>
      </w:pPr>
      <w:r w:rsidRPr="00E56CB8">
        <w:rPr>
          <w:rFonts w:ascii="Tahoma" w:hAnsi="Tahoma" w:cs="Tahoma"/>
          <w:b/>
          <w:bCs/>
          <w:lang w:val="en-GB"/>
        </w:rPr>
        <w:t>Enquiries</w:t>
      </w:r>
      <w:r w:rsidRPr="00E56CB8">
        <w:rPr>
          <w:rFonts w:ascii="Tahoma" w:hAnsi="Tahoma" w:cs="Tahoma"/>
          <w:b/>
          <w:bCs/>
          <w:lang w:val="en-GB"/>
        </w:rPr>
        <w:br/>
      </w:r>
      <w:proofErr w:type="spellStart"/>
      <w:r w:rsidRPr="00E56CB8">
        <w:rPr>
          <w:rFonts w:ascii="Tahoma" w:hAnsi="Tahoma" w:cs="Tahoma"/>
          <w:bCs/>
          <w:lang w:val="en-GB"/>
        </w:rPr>
        <w:t>Movember</w:t>
      </w:r>
      <w:proofErr w:type="spellEnd"/>
      <w:r w:rsidRPr="00E56CB8">
        <w:rPr>
          <w:rFonts w:ascii="Tahoma" w:hAnsi="Tahoma" w:cs="Tahoma"/>
          <w:bCs/>
          <w:lang w:val="en-GB"/>
        </w:rPr>
        <w:t xml:space="preserve"> Europe</w:t>
      </w:r>
      <w:r w:rsidRPr="00E56CB8">
        <w:rPr>
          <w:rFonts w:ascii="Tahoma" w:hAnsi="Tahoma" w:cs="Tahoma"/>
          <w:b/>
          <w:bCs/>
          <w:lang w:val="en-GB"/>
        </w:rPr>
        <w:br/>
      </w:r>
      <w:proofErr w:type="spellStart"/>
      <w:r w:rsidRPr="00E56CB8">
        <w:rPr>
          <w:rFonts w:ascii="Tahoma" w:hAnsi="Tahoma" w:cs="Tahoma"/>
          <w:lang w:val="en-GB"/>
        </w:rPr>
        <w:t>Gensurco</w:t>
      </w:r>
      <w:proofErr w:type="spellEnd"/>
      <w:r w:rsidRPr="00E56CB8">
        <w:rPr>
          <w:rFonts w:ascii="Tahoma" w:hAnsi="Tahoma" w:cs="Tahoma"/>
          <w:lang w:val="en-GB"/>
        </w:rPr>
        <w:t xml:space="preserve"> House</w:t>
      </w:r>
      <w:r w:rsidRPr="00E56CB8">
        <w:rPr>
          <w:rFonts w:ascii="Tahoma" w:hAnsi="Tahoma" w:cs="Tahoma"/>
          <w:lang w:val="en-GB"/>
        </w:rPr>
        <w:br/>
        <w:t>52-54 Rosebery Avenue</w:t>
      </w:r>
      <w:r w:rsidRPr="00E56CB8">
        <w:rPr>
          <w:rFonts w:ascii="Tahoma" w:hAnsi="Tahoma" w:cs="Tahoma"/>
          <w:lang w:val="en-GB"/>
        </w:rPr>
        <w:br/>
        <w:t>London</w:t>
      </w:r>
      <w:r w:rsidRPr="00E56CB8">
        <w:rPr>
          <w:rFonts w:ascii="Tahoma" w:hAnsi="Tahoma" w:cs="Tahoma"/>
          <w:lang w:val="en-GB"/>
        </w:rPr>
        <w:br/>
        <w:t>EC1R 4RP</w:t>
      </w:r>
      <w:r w:rsidR="00A67841" w:rsidRPr="00E56CB8">
        <w:rPr>
          <w:rFonts w:ascii="Tahoma" w:hAnsi="Tahoma" w:cs="Tahoma"/>
          <w:lang w:val="en-GB"/>
        </w:rPr>
        <w:br/>
      </w:r>
      <w:r w:rsidRPr="00E56CB8">
        <w:rPr>
          <w:rFonts w:ascii="Tahoma" w:hAnsi="Tahoma" w:cs="Tahoma"/>
          <w:lang w:val="en-GB"/>
        </w:rPr>
        <w:lastRenderedPageBreak/>
        <w:t xml:space="preserve">E-Mail: </w:t>
      </w:r>
      <w:hyperlink r:id="rId11" w:history="1">
        <w:r w:rsidR="00162432" w:rsidRPr="00E56CB8">
          <w:rPr>
            <w:rStyle w:val="Hyperlink"/>
            <w:rFonts w:ascii="Tahoma" w:hAnsi="Tahoma" w:cs="Tahoma"/>
            <w:color w:val="auto"/>
            <w:lang w:val="en-GB"/>
          </w:rPr>
          <w:t>scalingwhatworks@movember.com</w:t>
        </w:r>
      </w:hyperlink>
      <w:r w:rsidR="00A67841" w:rsidRPr="00E56CB8">
        <w:rPr>
          <w:rFonts w:ascii="Tahoma" w:hAnsi="Tahoma" w:cs="Tahoma"/>
          <w:lang w:val="en-GB"/>
        </w:rPr>
        <w:br/>
      </w:r>
    </w:p>
    <w:p w14:paraId="51C14984" w14:textId="77777777" w:rsidR="00BB39E7" w:rsidRPr="00E56CB8" w:rsidRDefault="00301EE5" w:rsidP="00093680">
      <w:pPr>
        <w:keepNext/>
        <w:spacing w:before="0" w:beforeAutospacing="0"/>
        <w:rPr>
          <w:rFonts w:ascii="Tahoma" w:hAnsi="Tahoma" w:cs="Tahoma"/>
          <w:bCs/>
          <w:lang w:val="en-GB"/>
        </w:rPr>
      </w:pPr>
      <w:r w:rsidRPr="00DA19B1">
        <w:rPr>
          <w:rFonts w:ascii="Tahoma" w:hAnsi="Tahoma" w:cs="Tahoma"/>
          <w:b/>
          <w:sz w:val="22"/>
          <w:szCs w:val="22"/>
          <w:lang w:val="en-GB"/>
        </w:rPr>
        <w:t>Calls and deadlines</w:t>
      </w:r>
      <w:r w:rsidRPr="00E56CB8">
        <w:rPr>
          <w:rFonts w:ascii="Tahoma" w:hAnsi="Tahoma" w:cs="Tahoma"/>
          <w:b/>
          <w:bCs/>
          <w:sz w:val="24"/>
          <w:szCs w:val="24"/>
          <w:lang w:val="en-GB"/>
        </w:rPr>
        <w:br/>
      </w:r>
      <w:r w:rsidRPr="00E56CB8">
        <w:rPr>
          <w:rFonts w:ascii="Tahoma" w:hAnsi="Tahoma" w:cs="Tahoma"/>
          <w:bCs/>
          <w:i/>
          <w:lang w:val="en-GB"/>
        </w:rPr>
        <w:br/>
      </w:r>
      <w:r w:rsidRPr="00E56CB8">
        <w:rPr>
          <w:rFonts w:ascii="Tahoma" w:hAnsi="Tahoma" w:cs="Tahoma"/>
          <w:bCs/>
          <w:lang w:val="en-GB"/>
        </w:rPr>
        <w:t>Information on future calls is indicative only and may be subject to change.</w:t>
      </w:r>
    </w:p>
    <w:p w14:paraId="7F2E31A7" w14:textId="77777777" w:rsidR="00BB39E7" w:rsidRPr="00E56CB8" w:rsidRDefault="00301EE5" w:rsidP="00301EE5">
      <w:pPr>
        <w:keepNext/>
        <w:rPr>
          <w:rFonts w:ascii="Tahoma" w:hAnsi="Tahoma" w:cs="Tahoma"/>
          <w:bCs/>
          <w:lang w:val="en-GB" w:eastAsia="en-GB"/>
        </w:rPr>
      </w:pPr>
      <w:r w:rsidRPr="00E56CB8">
        <w:rPr>
          <w:rFonts w:ascii="Tahoma" w:hAnsi="Tahoma" w:cs="Tahoma"/>
          <w:b/>
          <w:bCs/>
          <w:lang w:val="en-GB"/>
        </w:rPr>
        <w:t>2022 Deadline for Letters of Intent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410"/>
        <w:gridCol w:w="5958"/>
      </w:tblGrid>
      <w:tr w:rsidR="00BB39E7" w:rsidRPr="00E56CB8" w14:paraId="3BEFE2D6" w14:textId="77777777" w:rsidTr="000F736A">
        <w:trPr>
          <w:trHeight w:val="342"/>
        </w:trPr>
        <w:tc>
          <w:tcPr>
            <w:tcW w:w="2410" w:type="dxa"/>
            <w:vAlign w:val="center"/>
          </w:tcPr>
          <w:p w14:paraId="2A33D8AB" w14:textId="77777777" w:rsidR="00BB39E7" w:rsidRPr="00E56CB8" w:rsidRDefault="00BB39E7" w:rsidP="000F736A">
            <w:pPr>
              <w:rPr>
                <w:rFonts w:ascii="Tahoma" w:hAnsi="Tahoma" w:cs="Tahoma"/>
                <w:bCs/>
                <w:lang w:val="en-GB"/>
              </w:rPr>
            </w:pPr>
            <w:r w:rsidRPr="00E56CB8">
              <w:rPr>
                <w:rFonts w:ascii="Tahoma" w:hAnsi="Tahoma" w:cs="Tahoma"/>
                <w:bCs/>
                <w:lang w:val="en-GB" w:eastAsia="en-GB"/>
              </w:rPr>
              <w:t>Application start date:</w:t>
            </w:r>
          </w:p>
        </w:tc>
        <w:tc>
          <w:tcPr>
            <w:tcW w:w="5958" w:type="dxa"/>
            <w:vAlign w:val="center"/>
          </w:tcPr>
          <w:p w14:paraId="220BDB7C" w14:textId="77777777" w:rsidR="00BB39E7" w:rsidRPr="00E56CB8" w:rsidRDefault="00BB39E7" w:rsidP="000F736A">
            <w:pPr>
              <w:rPr>
                <w:rFonts w:ascii="Tahoma" w:hAnsi="Tahoma" w:cs="Tahoma"/>
                <w:bCs/>
                <w:lang w:val="en-GB"/>
              </w:rPr>
            </w:pPr>
            <w:r w:rsidRPr="00E56CB8">
              <w:rPr>
                <w:rFonts w:ascii="Tahoma" w:hAnsi="Tahoma" w:cs="Tahoma"/>
                <w:bCs/>
                <w:lang w:val="en-GB" w:eastAsia="en-GB"/>
              </w:rPr>
              <w:t>05/01/2022</w:t>
            </w:r>
          </w:p>
        </w:tc>
      </w:tr>
      <w:tr w:rsidR="00BB39E7" w:rsidRPr="00E56CB8" w14:paraId="3FB26FD6" w14:textId="77777777" w:rsidTr="000F736A">
        <w:trPr>
          <w:trHeight w:val="342"/>
        </w:trPr>
        <w:tc>
          <w:tcPr>
            <w:tcW w:w="2410" w:type="dxa"/>
            <w:vAlign w:val="center"/>
          </w:tcPr>
          <w:p w14:paraId="7CDE0DD2" w14:textId="77777777" w:rsidR="00BB39E7" w:rsidRPr="00E56CB8" w:rsidRDefault="00BB39E7" w:rsidP="000F736A">
            <w:pPr>
              <w:rPr>
                <w:rFonts w:ascii="Tahoma" w:hAnsi="Tahoma" w:cs="Tahoma"/>
                <w:bCs/>
                <w:lang w:val="en-GB"/>
              </w:rPr>
            </w:pPr>
            <w:r w:rsidRPr="00E56CB8">
              <w:rPr>
                <w:rFonts w:ascii="Tahoma" w:hAnsi="Tahoma" w:cs="Tahoma"/>
                <w:bCs/>
                <w:lang w:val="en-GB" w:eastAsia="en-GB"/>
              </w:rPr>
              <w:t>Application end date:</w:t>
            </w:r>
          </w:p>
        </w:tc>
        <w:tc>
          <w:tcPr>
            <w:tcW w:w="5958" w:type="dxa"/>
            <w:vAlign w:val="center"/>
          </w:tcPr>
          <w:p w14:paraId="6DC52893" w14:textId="77777777" w:rsidR="00BB39E7" w:rsidRPr="00E56CB8" w:rsidRDefault="00BB39E7" w:rsidP="000F736A">
            <w:pPr>
              <w:rPr>
                <w:rFonts w:ascii="Tahoma" w:hAnsi="Tahoma" w:cs="Tahoma"/>
                <w:bCs/>
                <w:lang w:val="en-GB"/>
              </w:rPr>
            </w:pPr>
            <w:r w:rsidRPr="00E56CB8">
              <w:rPr>
                <w:rFonts w:ascii="Tahoma" w:hAnsi="Tahoma" w:cs="Tahoma"/>
                <w:bCs/>
                <w:lang w:val="en-GB" w:eastAsia="en-GB"/>
              </w:rPr>
              <w:t>31/01/2022</w:t>
            </w:r>
          </w:p>
        </w:tc>
      </w:tr>
      <w:tr w:rsidR="00A11C2C" w:rsidRPr="00E56CB8" w14:paraId="2D7DB58C" w14:textId="77777777" w:rsidTr="000F736A">
        <w:trPr>
          <w:trHeight w:val="342"/>
        </w:trPr>
        <w:tc>
          <w:tcPr>
            <w:tcW w:w="2410" w:type="dxa"/>
            <w:vAlign w:val="center"/>
          </w:tcPr>
          <w:p w14:paraId="3B7935E4" w14:textId="77777777" w:rsidR="00A11C2C" w:rsidRPr="00E56CB8" w:rsidRDefault="00A11C2C" w:rsidP="00A11C2C">
            <w:pPr>
              <w:rPr>
                <w:rFonts w:ascii="Tahoma" w:hAnsi="Tahoma" w:cs="Tahoma"/>
                <w:bCs/>
                <w:lang w:val="en-GB" w:eastAsia="en-GB"/>
              </w:rPr>
            </w:pPr>
            <w:r w:rsidRPr="001F78F8">
              <w:rPr>
                <w:rFonts w:ascii="Tahoma" w:hAnsi="Tahoma" w:cs="Tahoma"/>
                <w:bCs/>
                <w:lang w:val="en-GB"/>
              </w:rPr>
              <w:t>Frequency:</w:t>
            </w:r>
          </w:p>
        </w:tc>
        <w:tc>
          <w:tcPr>
            <w:tcW w:w="5958" w:type="dxa"/>
            <w:vAlign w:val="center"/>
          </w:tcPr>
          <w:p w14:paraId="34153ACE" w14:textId="77777777" w:rsidR="00A11C2C" w:rsidRPr="00E56CB8" w:rsidRDefault="00A11C2C" w:rsidP="00A11C2C">
            <w:pPr>
              <w:rPr>
                <w:rFonts w:ascii="Tahoma" w:hAnsi="Tahoma" w:cs="Tahoma"/>
                <w:bCs/>
                <w:lang w:val="en-GB" w:eastAsia="en-GB"/>
              </w:rPr>
            </w:pPr>
            <w:r w:rsidRPr="001F78F8">
              <w:rPr>
                <w:rFonts w:ascii="Tahoma" w:hAnsi="Tahoma" w:cs="Tahoma"/>
                <w:bCs/>
                <w:lang w:val="en-GB"/>
              </w:rPr>
              <w:t>Key Deadline</w:t>
            </w:r>
          </w:p>
        </w:tc>
      </w:tr>
    </w:tbl>
    <w:p w14:paraId="4AAA84FD" w14:textId="77777777" w:rsidR="006B49F1" w:rsidRPr="00E56CB8" w:rsidRDefault="006B49F1" w:rsidP="00301EE5">
      <w:pPr>
        <w:keepNext/>
        <w:rPr>
          <w:rFonts w:ascii="Tahoma" w:hAnsi="Tahoma" w:cs="Tahoma"/>
          <w:bCs/>
          <w:lang w:val="en-GB" w:eastAsia="en-GB"/>
        </w:rPr>
      </w:pPr>
    </w:p>
    <w:p w14:paraId="0ABCC28B" w14:textId="77777777" w:rsidR="00F57CB3" w:rsidRPr="00E56CB8" w:rsidRDefault="00DC4D1B" w:rsidP="00093680">
      <w:pPr>
        <w:keepNext/>
        <w:spacing w:before="0" w:beforeAutospacing="0" w:after="0" w:afterAutospacing="0"/>
        <w:rPr>
          <w:rFonts w:ascii="Tahoma" w:hAnsi="Tahoma" w:cs="Tahoma"/>
          <w:lang w:val="en-GB"/>
        </w:rPr>
      </w:pPr>
      <w:r w:rsidRPr="00E56CB8">
        <w:rPr>
          <w:rFonts w:ascii="Tahoma" w:hAnsi="Tahoma" w:cs="Tahoma"/>
          <w:bCs/>
          <w:lang w:val="en-GB" w:eastAsia="en-GB"/>
        </w:rPr>
        <w:br/>
      </w:r>
    </w:p>
    <w:p w14:paraId="067FFFCE" w14:textId="77777777" w:rsidR="009C72BD" w:rsidRPr="00E56CB8" w:rsidRDefault="009C72BD" w:rsidP="00093680">
      <w:pPr>
        <w:keepNext/>
        <w:spacing w:before="0" w:beforeAutospacing="0" w:after="0" w:afterAutospacing="0"/>
        <w:rPr>
          <w:rFonts w:ascii="Tahoma" w:hAnsi="Tahoma" w:cs="Tahoma"/>
          <w:lang w:val="en-GB"/>
        </w:rPr>
      </w:pPr>
    </w:p>
    <w:p w14:paraId="778522E0" w14:textId="77777777" w:rsidR="008A734E" w:rsidRPr="00E56CB8" w:rsidRDefault="008A734E" w:rsidP="008A734E">
      <w:pPr>
        <w:spacing w:before="0" w:beforeAutospacing="0" w:after="0" w:afterAutospacing="0"/>
        <w:rPr>
          <w:rFonts w:ascii="Tahoma" w:hAnsi="Tahoma" w:cs="Tahoma"/>
          <w:lang w:val="en-GB"/>
        </w:rPr>
      </w:pPr>
      <w:r w:rsidRPr="00E56CB8">
        <w:rPr>
          <w:rFonts w:ascii="Tahoma" w:hAnsi="Tahoma" w:cs="Tahoma"/>
          <w:u w:val="single"/>
          <w:lang w:val="en-GB"/>
        </w:rPr>
        <w:tab/>
      </w:r>
      <w:r w:rsidRPr="00E56CB8">
        <w:rPr>
          <w:rFonts w:ascii="Tahoma" w:hAnsi="Tahoma" w:cs="Tahoma"/>
          <w:u w:val="single"/>
          <w:lang w:val="en-GB"/>
        </w:rPr>
        <w:tab/>
      </w:r>
      <w:r w:rsidRPr="00E56CB8">
        <w:rPr>
          <w:rFonts w:ascii="Tahoma" w:hAnsi="Tahoma" w:cs="Tahoma"/>
          <w:u w:val="single"/>
          <w:lang w:val="en-GB"/>
        </w:rPr>
        <w:tab/>
      </w:r>
      <w:r w:rsidRPr="00E56CB8">
        <w:rPr>
          <w:rFonts w:ascii="Tahoma" w:hAnsi="Tahoma" w:cs="Tahoma"/>
          <w:u w:val="single"/>
          <w:lang w:val="en-GB"/>
        </w:rPr>
        <w:tab/>
      </w:r>
      <w:r w:rsidRPr="00E56CB8">
        <w:rPr>
          <w:rFonts w:ascii="Tahoma" w:hAnsi="Tahoma" w:cs="Tahoma"/>
          <w:u w:val="single"/>
          <w:lang w:val="en-GB"/>
        </w:rPr>
        <w:tab/>
      </w:r>
      <w:r w:rsidRPr="00E56CB8">
        <w:rPr>
          <w:rFonts w:ascii="Tahoma" w:hAnsi="Tahoma" w:cs="Tahoma"/>
          <w:u w:val="single"/>
          <w:lang w:val="en-GB"/>
        </w:rPr>
        <w:tab/>
      </w:r>
      <w:r w:rsidRPr="00E56CB8">
        <w:rPr>
          <w:rFonts w:ascii="Tahoma" w:hAnsi="Tahoma" w:cs="Tahoma"/>
          <w:u w:val="single"/>
          <w:lang w:val="en-GB"/>
        </w:rPr>
        <w:tab/>
      </w:r>
      <w:r w:rsidRPr="00E56CB8">
        <w:rPr>
          <w:rFonts w:ascii="Tahoma" w:hAnsi="Tahoma" w:cs="Tahoma"/>
          <w:u w:val="single"/>
          <w:lang w:val="en-GB"/>
        </w:rPr>
        <w:tab/>
      </w:r>
      <w:r w:rsidRPr="00E56CB8">
        <w:rPr>
          <w:rFonts w:ascii="Tahoma" w:hAnsi="Tahoma" w:cs="Tahoma"/>
          <w:u w:val="single"/>
          <w:lang w:val="en-GB"/>
        </w:rPr>
        <w:tab/>
      </w:r>
      <w:r w:rsidRPr="00E56CB8">
        <w:rPr>
          <w:rFonts w:ascii="Tahoma" w:hAnsi="Tahoma" w:cs="Tahoma"/>
          <w:u w:val="single"/>
          <w:lang w:val="en-GB"/>
        </w:rPr>
        <w:tab/>
      </w:r>
      <w:r w:rsidRPr="00E56CB8">
        <w:rPr>
          <w:rFonts w:ascii="Tahoma" w:hAnsi="Tahoma" w:cs="Tahoma"/>
          <w:u w:val="single"/>
          <w:lang w:val="en-GB"/>
        </w:rPr>
        <w:tab/>
      </w:r>
      <w:r w:rsidRPr="00E56CB8">
        <w:rPr>
          <w:rFonts w:ascii="Tahoma" w:hAnsi="Tahoma" w:cs="Tahoma"/>
          <w:u w:val="single"/>
          <w:lang w:val="en-GB"/>
        </w:rPr>
        <w:tab/>
      </w:r>
    </w:p>
    <w:p w14:paraId="4997EF8C" w14:textId="77777777" w:rsidR="00FC0AE4" w:rsidRPr="00E56CB8" w:rsidRDefault="005F19A3" w:rsidP="009045AC">
      <w:pPr>
        <w:rPr>
          <w:rFonts w:ascii="Tahoma" w:hAnsi="Tahoma" w:cs="Tahoma"/>
          <w:lang w:val="en-GB"/>
        </w:rPr>
      </w:pPr>
      <w:r w:rsidRPr="00E56CB8">
        <w:rPr>
          <w:rFonts w:ascii="Tahoma" w:hAnsi="Tahoma" w:cs="Tahoma"/>
          <w:lang w:val="en-GB"/>
        </w:rPr>
        <w:br/>
      </w:r>
    </w:p>
    <w:p w14:paraId="64CDB795" w14:textId="77777777" w:rsidR="00B6289E" w:rsidRPr="00E56CB8" w:rsidRDefault="00B6289E" w:rsidP="00F37011">
      <w:pPr>
        <w:spacing w:before="0" w:beforeAutospacing="0" w:after="0" w:afterAutospacing="0"/>
        <w:rPr>
          <w:rFonts w:ascii="Tahoma" w:hAnsi="Tahoma" w:cs="Tahoma"/>
          <w:u w:val="single"/>
          <w:lang w:val="en-GB"/>
        </w:rPr>
      </w:pPr>
    </w:p>
    <w:sectPr w:rsidR="00B6289E" w:rsidRPr="00E56CB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FBA61" w14:textId="77777777" w:rsidR="00997672" w:rsidRDefault="00997672">
      <w:pPr>
        <w:rPr>
          <w:rFonts w:cs="Times New Roman"/>
        </w:rPr>
      </w:pPr>
      <w:r>
        <w:rPr>
          <w:rFonts w:cs="Times New Roman"/>
        </w:rPr>
        <w:separator/>
      </w:r>
    </w:p>
  </w:endnote>
  <w:endnote w:type="continuationSeparator" w:id="0">
    <w:p w14:paraId="323CA573" w14:textId="77777777" w:rsidR="00997672" w:rsidRDefault="0099767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393B6" w14:textId="77777777" w:rsidR="009316C3" w:rsidRPr="00667623" w:rsidRDefault="009316C3">
    <w:pPr>
      <w:pStyle w:val="Header"/>
      <w:rPr>
        <w:rFonts w:ascii="Tahoma" w:hAnsi="Tahoma" w:cs="Tahoma"/>
        <w:u w:val="single"/>
        <w:lang w:val="en-GB"/>
      </w:rPr>
    </w:pPr>
    <w:r w:rsidRPr="00667623">
      <w:rPr>
        <w:rFonts w:ascii="Tahoma" w:hAnsi="Tahoma" w:cs="Tahoma"/>
        <w:u w:val="single"/>
        <w:lang w:val="en-GB"/>
      </w:rPr>
      <w:tab/>
    </w:r>
    <w:r w:rsidRPr="00667623">
      <w:rPr>
        <w:rFonts w:ascii="Tahoma" w:hAnsi="Tahoma" w:cs="Tahoma"/>
        <w:u w:val="single"/>
        <w:lang w:val="en-GB"/>
      </w:rPr>
      <w:tab/>
    </w:r>
  </w:p>
  <w:p w14:paraId="73368B13" w14:textId="77777777" w:rsidR="009316C3" w:rsidRPr="00667623" w:rsidRDefault="009316C3">
    <w:pPr>
      <w:pStyle w:val="Header"/>
      <w:rPr>
        <w:rFonts w:ascii="Tahoma" w:hAnsi="Tahoma" w:cs="Tahoma"/>
      </w:rPr>
    </w:pPr>
    <w:r w:rsidRPr="00667623">
      <w:rPr>
        <w:rFonts w:ascii="Tahoma" w:hAnsi="Tahoma" w:cs="Tahoma"/>
        <w:b/>
        <w:bCs/>
        <w:sz w:val="16"/>
        <w:szCs w:val="16"/>
        <w:lang w:val="en-GB"/>
      </w:rPr>
      <w:t xml:space="preserve">Page </w:t>
    </w:r>
    <w:r w:rsidRPr="00667623">
      <w:rPr>
        <w:rFonts w:ascii="Tahoma" w:hAnsi="Tahoma" w:cs="Tahoma"/>
        <w:b/>
        <w:bCs/>
        <w:sz w:val="16"/>
        <w:szCs w:val="16"/>
        <w:lang w:val="en-GB"/>
      </w:rPr>
      <w:fldChar w:fldCharType="begin"/>
    </w:r>
    <w:r w:rsidRPr="00667623">
      <w:rPr>
        <w:rFonts w:ascii="Tahoma" w:hAnsi="Tahoma" w:cs="Tahoma"/>
        <w:b/>
        <w:bCs/>
        <w:sz w:val="16"/>
        <w:szCs w:val="16"/>
        <w:lang w:val="en-GB"/>
      </w:rPr>
      <w:instrText xml:space="preserve"> PAGE </w:instrText>
    </w:r>
    <w:r w:rsidRPr="00667623">
      <w:rPr>
        <w:rFonts w:ascii="Tahoma" w:hAnsi="Tahoma" w:cs="Tahoma"/>
        <w:b/>
        <w:bCs/>
        <w:sz w:val="16"/>
        <w:szCs w:val="16"/>
        <w:lang w:val="en-GB"/>
      </w:rPr>
      <w:fldChar w:fldCharType="separate"/>
    </w:r>
    <w:r w:rsidR="001102E4" w:rsidRPr="00667623">
      <w:rPr>
        <w:rFonts w:ascii="Tahoma" w:hAnsi="Tahoma" w:cs="Tahoma"/>
        <w:b/>
        <w:bCs/>
        <w:noProof/>
        <w:sz w:val="16"/>
        <w:szCs w:val="16"/>
        <w:lang w:val="en-GB"/>
      </w:rPr>
      <w:t>4</w:t>
    </w:r>
    <w:r w:rsidRPr="00667623">
      <w:rPr>
        <w:rFonts w:ascii="Tahoma" w:hAnsi="Tahoma" w:cs="Tahoma"/>
        <w:b/>
        <w:bCs/>
        <w:sz w:val="16"/>
        <w:szCs w:val="16"/>
        <w:lang w:val="en-GB"/>
      </w:rPr>
      <w:fldChar w:fldCharType="end"/>
    </w:r>
    <w:r w:rsidRPr="00667623">
      <w:rPr>
        <w:rFonts w:ascii="Tahoma" w:hAnsi="Tahoma" w:cs="Tahoma"/>
        <w:b/>
        <w:bCs/>
        <w:sz w:val="16"/>
        <w:szCs w:val="16"/>
        <w:lang w:val="en-GB"/>
      </w:rPr>
      <w:t xml:space="preserve"> of </w:t>
    </w:r>
    <w:r w:rsidRPr="00667623">
      <w:rPr>
        <w:rFonts w:ascii="Tahoma" w:hAnsi="Tahoma" w:cs="Tahoma"/>
        <w:b/>
        <w:bCs/>
        <w:sz w:val="16"/>
        <w:szCs w:val="16"/>
        <w:lang w:val="en-GB"/>
      </w:rPr>
      <w:fldChar w:fldCharType="begin"/>
    </w:r>
    <w:r w:rsidRPr="00667623">
      <w:rPr>
        <w:rFonts w:ascii="Tahoma" w:hAnsi="Tahoma" w:cs="Tahoma"/>
        <w:b/>
        <w:bCs/>
        <w:sz w:val="16"/>
        <w:szCs w:val="16"/>
        <w:lang w:val="en-GB"/>
      </w:rPr>
      <w:instrText xml:space="preserve"> NUMPAGES </w:instrText>
    </w:r>
    <w:r w:rsidRPr="00667623">
      <w:rPr>
        <w:rFonts w:ascii="Tahoma" w:hAnsi="Tahoma" w:cs="Tahoma"/>
        <w:b/>
        <w:bCs/>
        <w:sz w:val="16"/>
        <w:szCs w:val="16"/>
        <w:lang w:val="en-GB"/>
      </w:rPr>
      <w:fldChar w:fldCharType="separate"/>
    </w:r>
    <w:r w:rsidR="001102E4" w:rsidRPr="00667623">
      <w:rPr>
        <w:rFonts w:ascii="Tahoma" w:hAnsi="Tahoma" w:cs="Tahoma"/>
        <w:b/>
        <w:bCs/>
        <w:noProof/>
        <w:sz w:val="16"/>
        <w:szCs w:val="16"/>
        <w:lang w:val="en-GB"/>
      </w:rPr>
      <w:t>8</w:t>
    </w:r>
    <w:r w:rsidRPr="00667623">
      <w:rPr>
        <w:rFonts w:ascii="Tahoma" w:hAnsi="Tahoma" w:cs="Tahoma"/>
        <w:b/>
        <w:bCs/>
        <w:sz w:val="16"/>
        <w:szCs w:val="16"/>
        <w:lang w:val="en-GB"/>
      </w:rPr>
      <w:fldChar w:fldCharType="end"/>
    </w:r>
    <w:r w:rsidR="00514AA0" w:rsidRPr="00667623">
      <w:rPr>
        <w:rFonts w:ascii="Tahoma" w:hAnsi="Tahoma" w:cs="Tahoma"/>
        <w:lang w:val="en-GB"/>
      </w:rPr>
      <w:t xml:space="preserve"> </w:t>
    </w:r>
    <w:r w:rsidR="00E4581B" w:rsidRPr="00667623">
      <w:rPr>
        <w:rFonts w:ascii="Tahoma" w:hAnsi="Tahoma" w:cs="Tahoma"/>
        <w:lang w:val="en-GB"/>
      </w:rPr>
      <w:t xml:space="preserve"> </w:t>
    </w:r>
    <w:r w:rsidR="00514AA0" w:rsidRPr="00667623">
      <w:rPr>
        <w:rFonts w:ascii="Tahoma" w:hAnsi="Tahoma" w:cs="Tahoma"/>
        <w:lang w:val="en-GB"/>
      </w:rPr>
      <w:t xml:space="preserve">Source content copyright © Idox </w:t>
    </w:r>
    <w:r w:rsidR="006C5A64" w:rsidRPr="00667623">
      <w:rPr>
        <w:rFonts w:ascii="Tahoma" w:hAnsi="Tahoma" w:cs="Tahoma"/>
        <w:lang w:val="en-GB"/>
      </w:rPr>
      <w:t>plc</w:t>
    </w:r>
    <w:r w:rsidR="006C5A64" w:rsidRPr="00667623">
      <w:rPr>
        <w:rFonts w:ascii="Tahoma" w:hAnsi="Tahoma" w:cs="Tahoma"/>
        <w:lang w:val="en-GB"/>
      </w:rPr>
      <w:tab/>
    </w:r>
    <w:r w:rsidRPr="00667623">
      <w:rPr>
        <w:rFonts w:ascii="Tahoma" w:hAnsi="Tahoma" w:cs="Tahoma"/>
        <w:b/>
        <w:bCs/>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797B1" w14:textId="77777777" w:rsidR="00997672" w:rsidRDefault="00997672">
      <w:pPr>
        <w:rPr>
          <w:rFonts w:cs="Times New Roman"/>
        </w:rPr>
      </w:pPr>
      <w:r>
        <w:rPr>
          <w:rFonts w:cs="Times New Roman"/>
        </w:rPr>
        <w:separator/>
      </w:r>
    </w:p>
  </w:footnote>
  <w:footnote w:type="continuationSeparator" w:id="0">
    <w:p w14:paraId="3F122B71" w14:textId="77777777" w:rsidR="00997672" w:rsidRDefault="0099767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B18E" w14:textId="77777777" w:rsidR="009316C3" w:rsidRPr="00667623" w:rsidRDefault="009316C3" w:rsidP="00E9345D">
    <w:pPr>
      <w:pStyle w:val="Header"/>
      <w:tabs>
        <w:tab w:val="clear" w:pos="4320"/>
      </w:tabs>
      <w:rPr>
        <w:rFonts w:ascii="Tahoma" w:hAnsi="Tahoma" w:cs="Tahoma"/>
        <w:b/>
        <w:bCs/>
        <w:sz w:val="16"/>
        <w:szCs w:val="16"/>
        <w:lang w:val="en-GB"/>
      </w:rPr>
    </w:pPr>
    <w:proofErr w:type="spellStart"/>
    <w:r w:rsidRPr="00667623">
      <w:rPr>
        <w:rFonts w:ascii="Tahoma" w:hAnsi="Tahoma" w:cs="Tahoma"/>
        <w:b/>
        <w:bCs/>
        <w:sz w:val="16"/>
        <w:szCs w:val="16"/>
        <w:lang w:val="en-GB"/>
      </w:rPr>
      <w:t>Movember</w:t>
    </w:r>
    <w:proofErr w:type="spellEnd"/>
    <w:r w:rsidRPr="00667623">
      <w:rPr>
        <w:rFonts w:ascii="Tahoma" w:hAnsi="Tahoma" w:cs="Tahoma"/>
        <w:b/>
        <w:bCs/>
        <w:sz w:val="16"/>
        <w:szCs w:val="16"/>
        <w:lang w:val="en-GB"/>
      </w:rPr>
      <w:t xml:space="preserve"> - Scaling What Works in Community and Workplace Grant</w:t>
    </w:r>
    <w:r w:rsidRPr="00667623">
      <w:rPr>
        <w:rFonts w:ascii="Tahoma" w:hAnsi="Tahoma" w:cs="Tahoma"/>
        <w:b/>
        <w:bCs/>
        <w:sz w:val="16"/>
        <w:szCs w:val="16"/>
        <w:lang w:val="en-GB"/>
      </w:rPr>
      <w:tab/>
    </w:r>
    <w:r w:rsidR="0077617D" w:rsidRPr="00667623">
      <w:rPr>
        <w:rFonts w:ascii="Tahoma" w:hAnsi="Tahoma" w:cs="Tahoma"/>
        <w:b/>
        <w:bCs/>
        <w:sz w:val="16"/>
        <w:szCs w:val="16"/>
        <w:lang w:val="en-GB"/>
      </w:rPr>
      <w:t>20/01/2022</w:t>
    </w:r>
  </w:p>
  <w:p w14:paraId="4E1D8E23" w14:textId="77777777" w:rsidR="009316C3" w:rsidRPr="00667623" w:rsidRDefault="009316C3">
    <w:pPr>
      <w:pStyle w:val="Header"/>
      <w:rPr>
        <w:rFonts w:ascii="Tahoma" w:hAnsi="Tahoma" w:cs="Tahoma"/>
        <w:sz w:val="16"/>
        <w:szCs w:val="16"/>
        <w:u w:val="single"/>
        <w:lang w:val="en-GB"/>
      </w:rPr>
    </w:pPr>
    <w:r w:rsidRPr="00667623">
      <w:rPr>
        <w:rFonts w:ascii="Tahoma" w:hAnsi="Tahoma" w:cs="Tahoma"/>
        <w:sz w:val="16"/>
        <w:szCs w:val="16"/>
        <w:u w:val="single"/>
        <w:lang w:val="en-GB"/>
      </w:rPr>
      <w:tab/>
    </w:r>
    <w:r w:rsidRPr="00667623">
      <w:rPr>
        <w:rFonts w:ascii="Tahoma" w:hAnsi="Tahoma" w:cs="Tahoma"/>
        <w:sz w:val="16"/>
        <w:szCs w:val="16"/>
        <w:u w:val="single"/>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A44C9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08EB20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6470B31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FCA728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BADD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4AFD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F20F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EECB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B4EE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9C8B9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55614"/>
    <w:multiLevelType w:val="hybridMultilevel"/>
    <w:tmpl w:val="288CE2BE"/>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11" w15:restartNumberingAfterBreak="0">
    <w:nsid w:val="1DC1278C"/>
    <w:multiLevelType w:val="multilevel"/>
    <w:tmpl w:val="288CE2BE"/>
    <w:lvl w:ilvl="0">
      <w:start w:val="1"/>
      <w:numFmt w:val="bullet"/>
      <w:lvlText w:val=""/>
      <w:lvlJc w:val="left"/>
      <w:pPr>
        <w:tabs>
          <w:tab w:val="num" w:pos="1530"/>
        </w:tabs>
        <w:ind w:left="1530" w:hanging="360"/>
      </w:pPr>
      <w:rPr>
        <w:rFonts w:ascii="Symbol" w:hAnsi="Symbol" w:hint="default"/>
      </w:rPr>
    </w:lvl>
    <w:lvl w:ilvl="1">
      <w:start w:val="1"/>
      <w:numFmt w:val="bullet"/>
      <w:lvlText w:val="o"/>
      <w:lvlJc w:val="left"/>
      <w:pPr>
        <w:tabs>
          <w:tab w:val="num" w:pos="2250"/>
        </w:tabs>
        <w:ind w:left="2250" w:hanging="360"/>
      </w:pPr>
      <w:rPr>
        <w:rFonts w:ascii="Courier New" w:hAnsi="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12" w15:restartNumberingAfterBreak="0">
    <w:nsid w:val="23B34CA2"/>
    <w:multiLevelType w:val="hybridMultilevel"/>
    <w:tmpl w:val="BC02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070DF"/>
    <w:multiLevelType w:val="multilevel"/>
    <w:tmpl w:val="288CE2BE"/>
    <w:lvl w:ilvl="0">
      <w:start w:val="1"/>
      <w:numFmt w:val="bullet"/>
      <w:lvlText w:val=""/>
      <w:lvlJc w:val="left"/>
      <w:pPr>
        <w:tabs>
          <w:tab w:val="num" w:pos="1530"/>
        </w:tabs>
        <w:ind w:left="1530" w:hanging="360"/>
      </w:pPr>
      <w:rPr>
        <w:rFonts w:ascii="Symbol" w:hAnsi="Symbol" w:hint="default"/>
      </w:rPr>
    </w:lvl>
    <w:lvl w:ilvl="1">
      <w:start w:val="1"/>
      <w:numFmt w:val="bullet"/>
      <w:lvlText w:val="o"/>
      <w:lvlJc w:val="left"/>
      <w:pPr>
        <w:tabs>
          <w:tab w:val="num" w:pos="2250"/>
        </w:tabs>
        <w:ind w:left="2250" w:hanging="360"/>
      </w:pPr>
      <w:rPr>
        <w:rFonts w:ascii="Courier New" w:hAnsi="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14" w15:restartNumberingAfterBreak="0">
    <w:nsid w:val="33DD73CF"/>
    <w:multiLevelType w:val="multilevel"/>
    <w:tmpl w:val="DC0AFB5A"/>
    <w:lvl w:ilvl="0">
      <w:start w:val="1"/>
      <w:numFmt w:val="decimal"/>
      <w:lvlText w:val="%1."/>
      <w:lvlJc w:val="left"/>
      <w:pPr>
        <w:tabs>
          <w:tab w:val="num" w:pos="720"/>
        </w:tabs>
        <w:ind w:firstLine="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17DA8"/>
    <w:multiLevelType w:val="hybridMultilevel"/>
    <w:tmpl w:val="DC20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E14F3"/>
    <w:multiLevelType w:val="multilevel"/>
    <w:tmpl w:val="9F04D6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84D86"/>
    <w:multiLevelType w:val="hybridMultilevel"/>
    <w:tmpl w:val="9F04D63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47AF2"/>
    <w:multiLevelType w:val="hybridMultilevel"/>
    <w:tmpl w:val="DC0AFB5A"/>
    <w:lvl w:ilvl="0" w:tplc="FA7E6344">
      <w:start w:val="1"/>
      <w:numFmt w:val="decimal"/>
      <w:lvlText w:val="%1."/>
      <w:lvlJc w:val="left"/>
      <w:pPr>
        <w:tabs>
          <w:tab w:val="num" w:pos="720"/>
        </w:tabs>
        <w:ind w:firstLine="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02265"/>
    <w:multiLevelType w:val="hybridMultilevel"/>
    <w:tmpl w:val="8E0A7A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253524"/>
    <w:multiLevelType w:val="multilevel"/>
    <w:tmpl w:val="552613DA"/>
    <w:lvl w:ilvl="0">
      <w:start w:val="1"/>
      <w:numFmt w:val="bullet"/>
      <w:lvlText w:val=""/>
      <w:lvlJc w:val="left"/>
      <w:pPr>
        <w:tabs>
          <w:tab w:val="num" w:pos="1530"/>
        </w:tabs>
        <w:ind w:left="153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006296"/>
    <w:multiLevelType w:val="hybridMultilevel"/>
    <w:tmpl w:val="AF8AB8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97B4D"/>
    <w:multiLevelType w:val="multilevel"/>
    <w:tmpl w:val="80D27490"/>
    <w:lvl w:ilvl="0">
      <w:start w:val="1"/>
      <w:numFmt w:val="bullet"/>
      <w:lvlText w:val=""/>
      <w:lvlJc w:val="left"/>
      <w:pPr>
        <w:tabs>
          <w:tab w:val="num" w:pos="2340"/>
        </w:tabs>
        <w:ind w:left="23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827D59"/>
    <w:multiLevelType w:val="hybridMultilevel"/>
    <w:tmpl w:val="296EBF72"/>
    <w:lvl w:ilvl="0" w:tplc="50D8C43C">
      <w:start w:val="1"/>
      <w:numFmt w:val="bullet"/>
      <w:lvlText w:val=""/>
      <w:lvlJc w:val="left"/>
      <w:pPr>
        <w:tabs>
          <w:tab w:val="num" w:pos="1530"/>
        </w:tabs>
        <w:ind w:left="153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49294E"/>
    <w:multiLevelType w:val="hybridMultilevel"/>
    <w:tmpl w:val="80D27490"/>
    <w:lvl w:ilvl="0" w:tplc="256E6F28">
      <w:start w:val="1"/>
      <w:numFmt w:val="bullet"/>
      <w:lvlText w:val=""/>
      <w:lvlJc w:val="left"/>
      <w:pPr>
        <w:tabs>
          <w:tab w:val="num" w:pos="2340"/>
        </w:tabs>
        <w:ind w:left="23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75911"/>
    <w:multiLevelType w:val="hybridMultilevel"/>
    <w:tmpl w:val="552613DA"/>
    <w:lvl w:ilvl="0" w:tplc="50D8C43C">
      <w:start w:val="1"/>
      <w:numFmt w:val="bullet"/>
      <w:lvlText w:val=""/>
      <w:lvlJc w:val="left"/>
      <w:pPr>
        <w:tabs>
          <w:tab w:val="num" w:pos="1530"/>
        </w:tabs>
        <w:ind w:left="1530" w:hanging="360"/>
      </w:pPr>
      <w:rPr>
        <w:rFonts w:ascii="Symbol" w:hAnsi="Symbol" w:hint="default"/>
        <w:color w:val="auto"/>
      </w:rPr>
    </w:lvl>
    <w:lvl w:ilvl="1" w:tplc="50D8C43C">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7566BF"/>
    <w:multiLevelType w:val="hybridMultilevel"/>
    <w:tmpl w:val="D724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91863"/>
    <w:multiLevelType w:val="multilevel"/>
    <w:tmpl w:val="F170E772"/>
    <w:lvl w:ilvl="0">
      <w:start w:val="1"/>
      <w:numFmt w:val="bullet"/>
      <w:lvlText w:val=""/>
      <w:lvlJc w:val="left"/>
      <w:pPr>
        <w:tabs>
          <w:tab w:val="num" w:pos="2340"/>
        </w:tabs>
        <w:ind w:left="234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14467A"/>
    <w:multiLevelType w:val="hybridMultilevel"/>
    <w:tmpl w:val="EA84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B12C34"/>
    <w:multiLevelType w:val="hybridMultilevel"/>
    <w:tmpl w:val="F170E772"/>
    <w:lvl w:ilvl="0" w:tplc="256E6F28">
      <w:start w:val="1"/>
      <w:numFmt w:val="bullet"/>
      <w:lvlText w:val=""/>
      <w:lvlJc w:val="left"/>
      <w:pPr>
        <w:tabs>
          <w:tab w:val="num" w:pos="2340"/>
        </w:tabs>
        <w:ind w:left="2340" w:hanging="360"/>
      </w:pPr>
      <w:rPr>
        <w:rFonts w:ascii="Symbol" w:hAnsi="Symbol" w:hint="default"/>
        <w:color w:val="auto"/>
      </w:rPr>
    </w:lvl>
    <w:lvl w:ilvl="1" w:tplc="256E6F28">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F644B"/>
    <w:multiLevelType w:val="multilevel"/>
    <w:tmpl w:val="296EBF72"/>
    <w:lvl w:ilvl="0">
      <w:start w:val="1"/>
      <w:numFmt w:val="bullet"/>
      <w:lvlText w:val=""/>
      <w:lvlJc w:val="left"/>
      <w:pPr>
        <w:tabs>
          <w:tab w:val="num" w:pos="1530"/>
        </w:tabs>
        <w:ind w:left="153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3"/>
  </w:num>
  <w:num w:numId="4">
    <w:abstractNumId w:val="11"/>
  </w:num>
  <w:num w:numId="5">
    <w:abstractNumId w:val="16"/>
  </w:num>
  <w:num w:numId="6">
    <w:abstractNumId w:val="18"/>
  </w:num>
  <w:num w:numId="7">
    <w:abstractNumId w:val="14"/>
  </w:num>
  <w:num w:numId="8">
    <w:abstractNumId w:val="23"/>
  </w:num>
  <w:num w:numId="9">
    <w:abstractNumId w:val="30"/>
  </w:num>
  <w:num w:numId="10">
    <w:abstractNumId w:val="2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24"/>
  </w:num>
  <w:num w:numId="23">
    <w:abstractNumId w:val="22"/>
  </w:num>
  <w:num w:numId="24">
    <w:abstractNumId w:val="29"/>
  </w:num>
  <w:num w:numId="25">
    <w:abstractNumId w:val="27"/>
  </w:num>
  <w:num w:numId="26">
    <w:abstractNumId w:val="21"/>
  </w:num>
  <w:num w:numId="27">
    <w:abstractNumId w:val="19"/>
  </w:num>
  <w:num w:numId="28">
    <w:abstractNumId w:val="28"/>
  </w:num>
  <w:num w:numId="29">
    <w:abstractNumId w:val="12"/>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5D"/>
    <w:rsid w:val="000053E7"/>
    <w:rsid w:val="00013C9D"/>
    <w:rsid w:val="0001443F"/>
    <w:rsid w:val="000171F0"/>
    <w:rsid w:val="00025A38"/>
    <w:rsid w:val="00033D63"/>
    <w:rsid w:val="00034F3B"/>
    <w:rsid w:val="00035264"/>
    <w:rsid w:val="00044C34"/>
    <w:rsid w:val="00051B73"/>
    <w:rsid w:val="00056853"/>
    <w:rsid w:val="00057D22"/>
    <w:rsid w:val="00057F57"/>
    <w:rsid w:val="00065A12"/>
    <w:rsid w:val="00065CE6"/>
    <w:rsid w:val="00067EE8"/>
    <w:rsid w:val="00073329"/>
    <w:rsid w:val="00075A7D"/>
    <w:rsid w:val="00093680"/>
    <w:rsid w:val="00094107"/>
    <w:rsid w:val="000A198E"/>
    <w:rsid w:val="000A406A"/>
    <w:rsid w:val="000A4178"/>
    <w:rsid w:val="000B6280"/>
    <w:rsid w:val="000B7369"/>
    <w:rsid w:val="000C232C"/>
    <w:rsid w:val="000C6319"/>
    <w:rsid w:val="000D5585"/>
    <w:rsid w:val="000E3181"/>
    <w:rsid w:val="000E5007"/>
    <w:rsid w:val="000E6DCC"/>
    <w:rsid w:val="000E7F35"/>
    <w:rsid w:val="000F092F"/>
    <w:rsid w:val="000F15AE"/>
    <w:rsid w:val="000F2A0B"/>
    <w:rsid w:val="000F2D76"/>
    <w:rsid w:val="000F703B"/>
    <w:rsid w:val="000F736A"/>
    <w:rsid w:val="001051D8"/>
    <w:rsid w:val="001102E4"/>
    <w:rsid w:val="00114DFD"/>
    <w:rsid w:val="00121E62"/>
    <w:rsid w:val="00123CBA"/>
    <w:rsid w:val="00124203"/>
    <w:rsid w:val="00125B89"/>
    <w:rsid w:val="00142A65"/>
    <w:rsid w:val="00143BCE"/>
    <w:rsid w:val="0015365F"/>
    <w:rsid w:val="00162432"/>
    <w:rsid w:val="001678B8"/>
    <w:rsid w:val="0018092F"/>
    <w:rsid w:val="001814C0"/>
    <w:rsid w:val="001823FB"/>
    <w:rsid w:val="00187573"/>
    <w:rsid w:val="001913BC"/>
    <w:rsid w:val="00192A2C"/>
    <w:rsid w:val="00192BA5"/>
    <w:rsid w:val="00194B98"/>
    <w:rsid w:val="00196D17"/>
    <w:rsid w:val="001A5C0B"/>
    <w:rsid w:val="001B0751"/>
    <w:rsid w:val="001B3034"/>
    <w:rsid w:val="001B5290"/>
    <w:rsid w:val="001B5B5A"/>
    <w:rsid w:val="001B6C6A"/>
    <w:rsid w:val="001B7B55"/>
    <w:rsid w:val="001C023D"/>
    <w:rsid w:val="001C1310"/>
    <w:rsid w:val="001C283D"/>
    <w:rsid w:val="001C3257"/>
    <w:rsid w:val="001C7DC7"/>
    <w:rsid w:val="001D16D4"/>
    <w:rsid w:val="001E3939"/>
    <w:rsid w:val="001F1CED"/>
    <w:rsid w:val="001F78F8"/>
    <w:rsid w:val="00200277"/>
    <w:rsid w:val="00202EAF"/>
    <w:rsid w:val="0020521A"/>
    <w:rsid w:val="0020631D"/>
    <w:rsid w:val="002126D9"/>
    <w:rsid w:val="0021355B"/>
    <w:rsid w:val="00232ECA"/>
    <w:rsid w:val="002379B3"/>
    <w:rsid w:val="00246A1E"/>
    <w:rsid w:val="00253DD5"/>
    <w:rsid w:val="00260ADA"/>
    <w:rsid w:val="00264593"/>
    <w:rsid w:val="00264746"/>
    <w:rsid w:val="00266DE3"/>
    <w:rsid w:val="00275FFD"/>
    <w:rsid w:val="002766C1"/>
    <w:rsid w:val="00276BD8"/>
    <w:rsid w:val="00282B4E"/>
    <w:rsid w:val="00282C63"/>
    <w:rsid w:val="00290FA3"/>
    <w:rsid w:val="0029115D"/>
    <w:rsid w:val="002917F3"/>
    <w:rsid w:val="00291851"/>
    <w:rsid w:val="00294514"/>
    <w:rsid w:val="002A0440"/>
    <w:rsid w:val="002A63B0"/>
    <w:rsid w:val="002B0CB3"/>
    <w:rsid w:val="002C0EC9"/>
    <w:rsid w:val="002C1400"/>
    <w:rsid w:val="002D2923"/>
    <w:rsid w:val="002D626A"/>
    <w:rsid w:val="002E1743"/>
    <w:rsid w:val="002E60EB"/>
    <w:rsid w:val="002F452E"/>
    <w:rsid w:val="00301EE5"/>
    <w:rsid w:val="00302E07"/>
    <w:rsid w:val="003058B6"/>
    <w:rsid w:val="003125FD"/>
    <w:rsid w:val="00315145"/>
    <w:rsid w:val="0031790D"/>
    <w:rsid w:val="00330CA4"/>
    <w:rsid w:val="00333E26"/>
    <w:rsid w:val="00335129"/>
    <w:rsid w:val="00351A9F"/>
    <w:rsid w:val="0037385C"/>
    <w:rsid w:val="00376BE1"/>
    <w:rsid w:val="00380ADB"/>
    <w:rsid w:val="003814FC"/>
    <w:rsid w:val="0038647D"/>
    <w:rsid w:val="00390F54"/>
    <w:rsid w:val="00392012"/>
    <w:rsid w:val="00395139"/>
    <w:rsid w:val="0039644C"/>
    <w:rsid w:val="00396730"/>
    <w:rsid w:val="0039699A"/>
    <w:rsid w:val="003A5DFB"/>
    <w:rsid w:val="003A6DC1"/>
    <w:rsid w:val="003B0A44"/>
    <w:rsid w:val="003B2D17"/>
    <w:rsid w:val="003B5014"/>
    <w:rsid w:val="003B6F3E"/>
    <w:rsid w:val="003C78DD"/>
    <w:rsid w:val="003F104F"/>
    <w:rsid w:val="003F19C2"/>
    <w:rsid w:val="003F20A3"/>
    <w:rsid w:val="003F262E"/>
    <w:rsid w:val="003F3F31"/>
    <w:rsid w:val="003F6B84"/>
    <w:rsid w:val="003F6BB8"/>
    <w:rsid w:val="003F7CFD"/>
    <w:rsid w:val="00402961"/>
    <w:rsid w:val="00403681"/>
    <w:rsid w:val="00412A89"/>
    <w:rsid w:val="00417ECC"/>
    <w:rsid w:val="00420E8A"/>
    <w:rsid w:val="0042448C"/>
    <w:rsid w:val="00426018"/>
    <w:rsid w:val="00432909"/>
    <w:rsid w:val="00436D57"/>
    <w:rsid w:val="00441C84"/>
    <w:rsid w:val="00454F4D"/>
    <w:rsid w:val="00463218"/>
    <w:rsid w:val="00471CE7"/>
    <w:rsid w:val="0048333B"/>
    <w:rsid w:val="004842E5"/>
    <w:rsid w:val="00485599"/>
    <w:rsid w:val="004901EF"/>
    <w:rsid w:val="00493306"/>
    <w:rsid w:val="00493774"/>
    <w:rsid w:val="00493BB1"/>
    <w:rsid w:val="004943A9"/>
    <w:rsid w:val="00497F8D"/>
    <w:rsid w:val="004A15E6"/>
    <w:rsid w:val="004A2F45"/>
    <w:rsid w:val="004B638A"/>
    <w:rsid w:val="004C6961"/>
    <w:rsid w:val="004C7EB3"/>
    <w:rsid w:val="004D21A1"/>
    <w:rsid w:val="004D7591"/>
    <w:rsid w:val="004E1BA7"/>
    <w:rsid w:val="004E3278"/>
    <w:rsid w:val="004E55FF"/>
    <w:rsid w:val="00505305"/>
    <w:rsid w:val="00507204"/>
    <w:rsid w:val="00513DFC"/>
    <w:rsid w:val="00514AA0"/>
    <w:rsid w:val="005172DE"/>
    <w:rsid w:val="0052757A"/>
    <w:rsid w:val="005316E6"/>
    <w:rsid w:val="0053212D"/>
    <w:rsid w:val="00542568"/>
    <w:rsid w:val="005443E5"/>
    <w:rsid w:val="0055652E"/>
    <w:rsid w:val="00561A3F"/>
    <w:rsid w:val="00563D4C"/>
    <w:rsid w:val="0056630E"/>
    <w:rsid w:val="0057598E"/>
    <w:rsid w:val="00577147"/>
    <w:rsid w:val="0058281A"/>
    <w:rsid w:val="005A162C"/>
    <w:rsid w:val="005A1696"/>
    <w:rsid w:val="005A3DFC"/>
    <w:rsid w:val="005B477F"/>
    <w:rsid w:val="005B58FF"/>
    <w:rsid w:val="005C4A7C"/>
    <w:rsid w:val="005D1AF9"/>
    <w:rsid w:val="005D4505"/>
    <w:rsid w:val="005E2941"/>
    <w:rsid w:val="005E46BF"/>
    <w:rsid w:val="005F0BFC"/>
    <w:rsid w:val="005F19A3"/>
    <w:rsid w:val="005F5F7B"/>
    <w:rsid w:val="005F6190"/>
    <w:rsid w:val="005F742E"/>
    <w:rsid w:val="00601773"/>
    <w:rsid w:val="0060595A"/>
    <w:rsid w:val="00606EE2"/>
    <w:rsid w:val="00612885"/>
    <w:rsid w:val="00614D80"/>
    <w:rsid w:val="00614FE9"/>
    <w:rsid w:val="00620863"/>
    <w:rsid w:val="0063129A"/>
    <w:rsid w:val="006433C1"/>
    <w:rsid w:val="00644093"/>
    <w:rsid w:val="0065113A"/>
    <w:rsid w:val="0065432F"/>
    <w:rsid w:val="0066348C"/>
    <w:rsid w:val="00667623"/>
    <w:rsid w:val="0067008C"/>
    <w:rsid w:val="0067508F"/>
    <w:rsid w:val="00685D94"/>
    <w:rsid w:val="006866AE"/>
    <w:rsid w:val="00692912"/>
    <w:rsid w:val="006A1C63"/>
    <w:rsid w:val="006A2CC0"/>
    <w:rsid w:val="006A33B9"/>
    <w:rsid w:val="006B0793"/>
    <w:rsid w:val="006B11F8"/>
    <w:rsid w:val="006B49F1"/>
    <w:rsid w:val="006B66C2"/>
    <w:rsid w:val="006B77AB"/>
    <w:rsid w:val="006C0637"/>
    <w:rsid w:val="006C5A64"/>
    <w:rsid w:val="006D2955"/>
    <w:rsid w:val="006D2CD3"/>
    <w:rsid w:val="006D7105"/>
    <w:rsid w:val="006F5C5A"/>
    <w:rsid w:val="006F656A"/>
    <w:rsid w:val="00700FAB"/>
    <w:rsid w:val="00703103"/>
    <w:rsid w:val="00704925"/>
    <w:rsid w:val="00714714"/>
    <w:rsid w:val="007211B3"/>
    <w:rsid w:val="00721DFA"/>
    <w:rsid w:val="0073172C"/>
    <w:rsid w:val="0073479F"/>
    <w:rsid w:val="00736CFE"/>
    <w:rsid w:val="00743BE2"/>
    <w:rsid w:val="00752B12"/>
    <w:rsid w:val="0076159A"/>
    <w:rsid w:val="0077617D"/>
    <w:rsid w:val="007830EC"/>
    <w:rsid w:val="00785140"/>
    <w:rsid w:val="00787224"/>
    <w:rsid w:val="00794C86"/>
    <w:rsid w:val="007A4830"/>
    <w:rsid w:val="007B3574"/>
    <w:rsid w:val="007B6B6E"/>
    <w:rsid w:val="007C49D7"/>
    <w:rsid w:val="007C57ED"/>
    <w:rsid w:val="007D7997"/>
    <w:rsid w:val="007E1407"/>
    <w:rsid w:val="007E7CAA"/>
    <w:rsid w:val="007F256E"/>
    <w:rsid w:val="007F7FA9"/>
    <w:rsid w:val="00802ED3"/>
    <w:rsid w:val="00814578"/>
    <w:rsid w:val="0081728B"/>
    <w:rsid w:val="008245CE"/>
    <w:rsid w:val="008352D9"/>
    <w:rsid w:val="00846C55"/>
    <w:rsid w:val="00852601"/>
    <w:rsid w:val="008568F5"/>
    <w:rsid w:val="00856C2C"/>
    <w:rsid w:val="008661A3"/>
    <w:rsid w:val="008778A3"/>
    <w:rsid w:val="00877B62"/>
    <w:rsid w:val="008846D3"/>
    <w:rsid w:val="00886C2F"/>
    <w:rsid w:val="00890CDC"/>
    <w:rsid w:val="00893617"/>
    <w:rsid w:val="00896C79"/>
    <w:rsid w:val="00897E87"/>
    <w:rsid w:val="008A1802"/>
    <w:rsid w:val="008A1C47"/>
    <w:rsid w:val="008A3F7B"/>
    <w:rsid w:val="008A734E"/>
    <w:rsid w:val="008B08A6"/>
    <w:rsid w:val="008B2AAA"/>
    <w:rsid w:val="008B3414"/>
    <w:rsid w:val="008B678A"/>
    <w:rsid w:val="008B6887"/>
    <w:rsid w:val="008B703D"/>
    <w:rsid w:val="008C0FF2"/>
    <w:rsid w:val="008D06BD"/>
    <w:rsid w:val="008E1B17"/>
    <w:rsid w:val="008E2692"/>
    <w:rsid w:val="008E45C2"/>
    <w:rsid w:val="008E6253"/>
    <w:rsid w:val="008F60D1"/>
    <w:rsid w:val="008F6EBF"/>
    <w:rsid w:val="00900429"/>
    <w:rsid w:val="009040A5"/>
    <w:rsid w:val="009045AC"/>
    <w:rsid w:val="00910BF1"/>
    <w:rsid w:val="00914B08"/>
    <w:rsid w:val="009229C9"/>
    <w:rsid w:val="00926C75"/>
    <w:rsid w:val="00926D9F"/>
    <w:rsid w:val="009316C3"/>
    <w:rsid w:val="00936FB1"/>
    <w:rsid w:val="00943EF2"/>
    <w:rsid w:val="009634D3"/>
    <w:rsid w:val="00963AF0"/>
    <w:rsid w:val="0096678A"/>
    <w:rsid w:val="0097123B"/>
    <w:rsid w:val="00971BE8"/>
    <w:rsid w:val="00972108"/>
    <w:rsid w:val="009873D2"/>
    <w:rsid w:val="009953EC"/>
    <w:rsid w:val="00997672"/>
    <w:rsid w:val="009B32E5"/>
    <w:rsid w:val="009B37B1"/>
    <w:rsid w:val="009B5FA0"/>
    <w:rsid w:val="009B77F7"/>
    <w:rsid w:val="009B78E1"/>
    <w:rsid w:val="009C4442"/>
    <w:rsid w:val="009C6880"/>
    <w:rsid w:val="009C72BD"/>
    <w:rsid w:val="009C749F"/>
    <w:rsid w:val="009D1630"/>
    <w:rsid w:val="009D67FA"/>
    <w:rsid w:val="009D6D00"/>
    <w:rsid w:val="009D766A"/>
    <w:rsid w:val="009E678F"/>
    <w:rsid w:val="009F6BD1"/>
    <w:rsid w:val="00A031F7"/>
    <w:rsid w:val="00A10AA2"/>
    <w:rsid w:val="00A11C2C"/>
    <w:rsid w:val="00A12B6A"/>
    <w:rsid w:val="00A200F6"/>
    <w:rsid w:val="00A23431"/>
    <w:rsid w:val="00A249E9"/>
    <w:rsid w:val="00A33B7D"/>
    <w:rsid w:val="00A36A09"/>
    <w:rsid w:val="00A445A5"/>
    <w:rsid w:val="00A52022"/>
    <w:rsid w:val="00A53E61"/>
    <w:rsid w:val="00A57D08"/>
    <w:rsid w:val="00A640C0"/>
    <w:rsid w:val="00A67841"/>
    <w:rsid w:val="00A70E77"/>
    <w:rsid w:val="00A76365"/>
    <w:rsid w:val="00A771AF"/>
    <w:rsid w:val="00A77BA8"/>
    <w:rsid w:val="00A80F75"/>
    <w:rsid w:val="00A81ACE"/>
    <w:rsid w:val="00A84497"/>
    <w:rsid w:val="00A84558"/>
    <w:rsid w:val="00A85D34"/>
    <w:rsid w:val="00A8662B"/>
    <w:rsid w:val="00A9432A"/>
    <w:rsid w:val="00AA1627"/>
    <w:rsid w:val="00AA6D18"/>
    <w:rsid w:val="00AB1A04"/>
    <w:rsid w:val="00AD125D"/>
    <w:rsid w:val="00AD3B28"/>
    <w:rsid w:val="00AE385A"/>
    <w:rsid w:val="00AF5C4B"/>
    <w:rsid w:val="00B002D2"/>
    <w:rsid w:val="00B16A20"/>
    <w:rsid w:val="00B271F0"/>
    <w:rsid w:val="00B33300"/>
    <w:rsid w:val="00B371C6"/>
    <w:rsid w:val="00B4200A"/>
    <w:rsid w:val="00B52AAD"/>
    <w:rsid w:val="00B53B18"/>
    <w:rsid w:val="00B54630"/>
    <w:rsid w:val="00B5529B"/>
    <w:rsid w:val="00B5616F"/>
    <w:rsid w:val="00B6289E"/>
    <w:rsid w:val="00B71DB2"/>
    <w:rsid w:val="00B72DB3"/>
    <w:rsid w:val="00B7334E"/>
    <w:rsid w:val="00B7408D"/>
    <w:rsid w:val="00B8020E"/>
    <w:rsid w:val="00B92644"/>
    <w:rsid w:val="00B956E6"/>
    <w:rsid w:val="00BA2B0C"/>
    <w:rsid w:val="00BA4BFB"/>
    <w:rsid w:val="00BB39E7"/>
    <w:rsid w:val="00BC3139"/>
    <w:rsid w:val="00BC4491"/>
    <w:rsid w:val="00BC63F9"/>
    <w:rsid w:val="00BD0B2C"/>
    <w:rsid w:val="00BD218E"/>
    <w:rsid w:val="00BD3320"/>
    <w:rsid w:val="00BD367A"/>
    <w:rsid w:val="00BF6A5E"/>
    <w:rsid w:val="00BF7069"/>
    <w:rsid w:val="00C213F4"/>
    <w:rsid w:val="00C35FDC"/>
    <w:rsid w:val="00C3671A"/>
    <w:rsid w:val="00C4287F"/>
    <w:rsid w:val="00C42AE4"/>
    <w:rsid w:val="00C43D54"/>
    <w:rsid w:val="00C44AC9"/>
    <w:rsid w:val="00C50507"/>
    <w:rsid w:val="00C52582"/>
    <w:rsid w:val="00C610CE"/>
    <w:rsid w:val="00C67D79"/>
    <w:rsid w:val="00C75003"/>
    <w:rsid w:val="00C7645C"/>
    <w:rsid w:val="00C76CC2"/>
    <w:rsid w:val="00C8116E"/>
    <w:rsid w:val="00C820AD"/>
    <w:rsid w:val="00C874ED"/>
    <w:rsid w:val="00CA046A"/>
    <w:rsid w:val="00CA0862"/>
    <w:rsid w:val="00CA1AF4"/>
    <w:rsid w:val="00CA2A29"/>
    <w:rsid w:val="00CA4A18"/>
    <w:rsid w:val="00CA5DBA"/>
    <w:rsid w:val="00CA7E26"/>
    <w:rsid w:val="00CB2385"/>
    <w:rsid w:val="00CB2743"/>
    <w:rsid w:val="00CB3BD3"/>
    <w:rsid w:val="00CB4F94"/>
    <w:rsid w:val="00CC109E"/>
    <w:rsid w:val="00CC390D"/>
    <w:rsid w:val="00CC6F69"/>
    <w:rsid w:val="00CE3698"/>
    <w:rsid w:val="00CF4921"/>
    <w:rsid w:val="00CF4AEE"/>
    <w:rsid w:val="00CF5BC0"/>
    <w:rsid w:val="00D072D2"/>
    <w:rsid w:val="00D11BF6"/>
    <w:rsid w:val="00D121C7"/>
    <w:rsid w:val="00D13BFF"/>
    <w:rsid w:val="00D140AC"/>
    <w:rsid w:val="00D148AC"/>
    <w:rsid w:val="00D159F1"/>
    <w:rsid w:val="00D26AFE"/>
    <w:rsid w:val="00D27F98"/>
    <w:rsid w:val="00D369DF"/>
    <w:rsid w:val="00D4161A"/>
    <w:rsid w:val="00D44387"/>
    <w:rsid w:val="00D51E01"/>
    <w:rsid w:val="00D51E13"/>
    <w:rsid w:val="00D53BB6"/>
    <w:rsid w:val="00D55DCC"/>
    <w:rsid w:val="00D579DF"/>
    <w:rsid w:val="00D602C5"/>
    <w:rsid w:val="00D623EF"/>
    <w:rsid w:val="00D72E83"/>
    <w:rsid w:val="00D81EF1"/>
    <w:rsid w:val="00D84672"/>
    <w:rsid w:val="00D85D7F"/>
    <w:rsid w:val="00D873C6"/>
    <w:rsid w:val="00D87928"/>
    <w:rsid w:val="00DA19B1"/>
    <w:rsid w:val="00DA50AB"/>
    <w:rsid w:val="00DB641A"/>
    <w:rsid w:val="00DC0EE2"/>
    <w:rsid w:val="00DC36A8"/>
    <w:rsid w:val="00DC4D1B"/>
    <w:rsid w:val="00DE4ED7"/>
    <w:rsid w:val="00DE740A"/>
    <w:rsid w:val="00DF0A18"/>
    <w:rsid w:val="00DF10D1"/>
    <w:rsid w:val="00DF2EE0"/>
    <w:rsid w:val="00DF406E"/>
    <w:rsid w:val="00DF4972"/>
    <w:rsid w:val="00DF5D2A"/>
    <w:rsid w:val="00DF7A04"/>
    <w:rsid w:val="00E10AA6"/>
    <w:rsid w:val="00E111BE"/>
    <w:rsid w:val="00E11E65"/>
    <w:rsid w:val="00E170C9"/>
    <w:rsid w:val="00E251DC"/>
    <w:rsid w:val="00E30BE5"/>
    <w:rsid w:val="00E4581B"/>
    <w:rsid w:val="00E50882"/>
    <w:rsid w:val="00E56CB8"/>
    <w:rsid w:val="00E57B9C"/>
    <w:rsid w:val="00E70C8A"/>
    <w:rsid w:val="00E810EB"/>
    <w:rsid w:val="00E84868"/>
    <w:rsid w:val="00E92192"/>
    <w:rsid w:val="00E9345D"/>
    <w:rsid w:val="00EB1FA4"/>
    <w:rsid w:val="00EB2193"/>
    <w:rsid w:val="00EB2D7E"/>
    <w:rsid w:val="00EB6684"/>
    <w:rsid w:val="00EC2600"/>
    <w:rsid w:val="00EC442B"/>
    <w:rsid w:val="00ED177C"/>
    <w:rsid w:val="00ED27E7"/>
    <w:rsid w:val="00ED2AF0"/>
    <w:rsid w:val="00EE675F"/>
    <w:rsid w:val="00EF1941"/>
    <w:rsid w:val="00EF1B61"/>
    <w:rsid w:val="00EF42B5"/>
    <w:rsid w:val="00EF5D73"/>
    <w:rsid w:val="00F0193C"/>
    <w:rsid w:val="00F0540B"/>
    <w:rsid w:val="00F12D97"/>
    <w:rsid w:val="00F12F6C"/>
    <w:rsid w:val="00F1540D"/>
    <w:rsid w:val="00F262DE"/>
    <w:rsid w:val="00F3087C"/>
    <w:rsid w:val="00F3335D"/>
    <w:rsid w:val="00F37011"/>
    <w:rsid w:val="00F445DC"/>
    <w:rsid w:val="00F475DB"/>
    <w:rsid w:val="00F57CB3"/>
    <w:rsid w:val="00F61760"/>
    <w:rsid w:val="00F6322B"/>
    <w:rsid w:val="00F6478A"/>
    <w:rsid w:val="00F6642F"/>
    <w:rsid w:val="00F74118"/>
    <w:rsid w:val="00F80E49"/>
    <w:rsid w:val="00F82E70"/>
    <w:rsid w:val="00F83935"/>
    <w:rsid w:val="00F912D5"/>
    <w:rsid w:val="00FA1276"/>
    <w:rsid w:val="00FA4370"/>
    <w:rsid w:val="00FA6223"/>
    <w:rsid w:val="00FB07DF"/>
    <w:rsid w:val="00FB59E3"/>
    <w:rsid w:val="00FC0AE4"/>
    <w:rsid w:val="00FC48A6"/>
    <w:rsid w:val="00FC5468"/>
    <w:rsid w:val="00FC6E6C"/>
    <w:rsid w:val="00FC708B"/>
    <w:rsid w:val="00FD3D75"/>
    <w:rsid w:val="00FE0FB8"/>
    <w:rsid w:val="00FE40CB"/>
    <w:rsid w:val="00FF2BD9"/>
    <w:rsid w:val="00FF6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9BEE7"/>
  <w14:defaultImageDpi w14:val="0"/>
  <w15:docId w15:val="{67A0B14A-96BF-4827-8D5F-F63B9071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E3"/>
    <w:pPr>
      <w:spacing w:before="100" w:beforeAutospacing="1" w:after="100" w:afterAutospacing="1" w:line="240" w:lineRule="auto"/>
    </w:pPr>
    <w:rPr>
      <w:rFonts w:ascii="Arial" w:hAnsi="Arial" w:cs="Trebuchet MS"/>
      <w:sz w:val="18"/>
      <w:szCs w:val="18"/>
      <w:lang w:val="en-US" w:eastAsia="ja-JP"/>
    </w:rPr>
  </w:style>
  <w:style w:type="paragraph" w:styleId="Heading1">
    <w:name w:val="heading 1"/>
    <w:basedOn w:val="Normal"/>
    <w:next w:val="Normal"/>
    <w:link w:val="Heading1Char"/>
    <w:uiPriority w:val="99"/>
    <w:qFormat/>
    <w:rsid w:val="003058B6"/>
    <w:pPr>
      <w:keepNext/>
      <w:outlineLvl w:val="0"/>
    </w:pPr>
    <w:rPr>
      <w:b/>
      <w:bCs/>
      <w:sz w:val="28"/>
      <w:szCs w:val="28"/>
      <w:lang w:val="en-GB"/>
    </w:rPr>
  </w:style>
  <w:style w:type="paragraph" w:styleId="Heading2">
    <w:name w:val="heading 2"/>
    <w:basedOn w:val="Normal"/>
    <w:next w:val="Normal"/>
    <w:link w:val="Heading2Char"/>
    <w:uiPriority w:val="99"/>
    <w:qFormat/>
    <w:rsid w:val="00A445A5"/>
    <w:pPr>
      <w:keepNext/>
      <w:spacing w:before="0" w:beforeAutospacing="0" w:after="0" w:afterAutospacing="0"/>
      <w:outlineLvl w:val="1"/>
    </w:pPr>
    <w:rPr>
      <w:b/>
      <w:bCs/>
      <w:color w:val="009FDA"/>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4972"/>
    <w:rPr>
      <w:rFonts w:ascii="Trebuchet MS" w:eastAsia="MS Mincho" w:hAnsi="Trebuchet MS" w:cs="Trebuchet MS"/>
      <w:b/>
      <w:bCs/>
      <w:kern w:val="32"/>
      <w:sz w:val="32"/>
      <w:szCs w:val="32"/>
      <w:lang w:val="en-US" w:eastAsia="ja-JP"/>
    </w:rPr>
  </w:style>
  <w:style w:type="character" w:customStyle="1" w:styleId="Heading2Char">
    <w:name w:val="Heading 2 Char"/>
    <w:basedOn w:val="DefaultParagraphFont"/>
    <w:link w:val="Heading2"/>
    <w:uiPriority w:val="99"/>
    <w:locked/>
    <w:rsid w:val="00A445A5"/>
    <w:rPr>
      <w:rFonts w:ascii="Arial" w:hAnsi="Arial" w:cs="Trebuchet MS"/>
      <w:b/>
      <w:bCs/>
      <w:color w:val="009FDA"/>
      <w:sz w:val="28"/>
      <w:szCs w:val="28"/>
      <w:lang w:val="x-none" w:eastAsia="ja-JP"/>
    </w:rPr>
  </w:style>
  <w:style w:type="paragraph" w:customStyle="1" w:styleId="StyleAfterAuto">
    <w:name w:val="Style After:  Auto"/>
    <w:basedOn w:val="Normal"/>
    <w:uiPriority w:val="99"/>
    <w:rsid w:val="00BD218E"/>
    <w:pPr>
      <w:spacing w:before="0" w:beforeAutospacing="0" w:after="0" w:afterAutospacing="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rebuchet MS" w:hAnsi="Trebuchet MS" w:cs="Trebuchet MS"/>
      <w:sz w:val="18"/>
      <w:szCs w:val="18"/>
      <w:lang w:val="en-US"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rebuchet MS" w:hAnsi="Trebuchet MS" w:cs="Trebuchet MS"/>
      <w:sz w:val="18"/>
      <w:szCs w:val="18"/>
      <w:lang w:val="en-US" w:eastAsia="ja-JP"/>
    </w:rPr>
  </w:style>
  <w:style w:type="paragraph" w:styleId="BalloonText">
    <w:name w:val="Balloon Text"/>
    <w:basedOn w:val="Normal"/>
    <w:link w:val="BalloonTextChar"/>
    <w:uiPriority w:val="99"/>
    <w:semiHidden/>
    <w:unhideWhenUsed/>
    <w:rsid w:val="00B5616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616F"/>
    <w:rPr>
      <w:rFonts w:ascii="Tahoma" w:hAnsi="Tahoma" w:cs="Tahoma"/>
      <w:sz w:val="16"/>
      <w:szCs w:val="16"/>
      <w:lang w:val="en-US" w:eastAsia="ja-JP"/>
    </w:rPr>
  </w:style>
  <w:style w:type="table" w:styleId="TableGrid">
    <w:name w:val="Table Grid"/>
    <w:basedOn w:val="TableNormal"/>
    <w:uiPriority w:val="59"/>
    <w:rsid w:val="005D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6159A"/>
    <w:rPr>
      <w:rFonts w:cs="Times New Roman"/>
      <w:color w:val="0000FF" w:themeColor="hyperlink"/>
      <w:u w:val="single"/>
    </w:rPr>
  </w:style>
  <w:style w:type="paragraph" w:styleId="NormalWeb">
    <w:name w:val="Normal (Web)"/>
    <w:basedOn w:val="Normal"/>
    <w:uiPriority w:val="99"/>
    <w:unhideWhenUsed/>
    <w:rsid w:val="0042448C"/>
    <w:pPr>
      <w:spacing w:after="168" w:afterAutospacing="0" w:line="336" w:lineRule="atLeast"/>
    </w:pPr>
    <w:rPr>
      <w:rFonts w:ascii="Times New Roman" w:hAnsi="Times New Roman" w:cs="Times New Roman"/>
      <w:color w:val="333333"/>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164894">
      <w:marLeft w:val="0"/>
      <w:marRight w:val="0"/>
      <w:marTop w:val="0"/>
      <w:marBottom w:val="0"/>
      <w:divBdr>
        <w:top w:val="none" w:sz="0" w:space="0" w:color="auto"/>
        <w:left w:val="none" w:sz="0" w:space="0" w:color="auto"/>
        <w:bottom w:val="none" w:sz="0" w:space="0" w:color="auto"/>
        <w:right w:val="none" w:sz="0" w:space="0" w:color="auto"/>
      </w:divBdr>
    </w:div>
    <w:div w:id="1989164895">
      <w:marLeft w:val="0"/>
      <w:marRight w:val="0"/>
      <w:marTop w:val="0"/>
      <w:marBottom w:val="0"/>
      <w:divBdr>
        <w:top w:val="none" w:sz="0" w:space="0" w:color="auto"/>
        <w:left w:val="none" w:sz="0" w:space="0" w:color="auto"/>
        <w:bottom w:val="none" w:sz="0" w:space="0" w:color="auto"/>
        <w:right w:val="none" w:sz="0" w:space="0" w:color="auto"/>
      </w:divBdr>
    </w:div>
    <w:div w:id="1989164898">
      <w:marLeft w:val="0"/>
      <w:marRight w:val="0"/>
      <w:marTop w:val="0"/>
      <w:marBottom w:val="0"/>
      <w:divBdr>
        <w:top w:val="none" w:sz="0" w:space="0" w:color="auto"/>
        <w:left w:val="none" w:sz="0" w:space="0" w:color="auto"/>
        <w:bottom w:val="none" w:sz="0" w:space="0" w:color="auto"/>
        <w:right w:val="none" w:sz="0" w:space="0" w:color="auto"/>
      </w:divBdr>
    </w:div>
    <w:div w:id="1989164899">
      <w:marLeft w:val="0"/>
      <w:marRight w:val="0"/>
      <w:marTop w:val="0"/>
      <w:marBottom w:val="0"/>
      <w:divBdr>
        <w:top w:val="none" w:sz="0" w:space="0" w:color="auto"/>
        <w:left w:val="none" w:sz="0" w:space="0" w:color="auto"/>
        <w:bottom w:val="none" w:sz="0" w:space="0" w:color="auto"/>
        <w:right w:val="none" w:sz="0" w:space="0" w:color="auto"/>
      </w:divBdr>
    </w:div>
    <w:div w:id="1989164900">
      <w:marLeft w:val="0"/>
      <w:marRight w:val="0"/>
      <w:marTop w:val="0"/>
      <w:marBottom w:val="0"/>
      <w:divBdr>
        <w:top w:val="none" w:sz="0" w:space="0" w:color="auto"/>
        <w:left w:val="none" w:sz="0" w:space="0" w:color="auto"/>
        <w:bottom w:val="none" w:sz="0" w:space="0" w:color="auto"/>
        <w:right w:val="none" w:sz="0" w:space="0" w:color="auto"/>
      </w:divBdr>
    </w:div>
    <w:div w:id="1989164901">
      <w:marLeft w:val="0"/>
      <w:marRight w:val="0"/>
      <w:marTop w:val="0"/>
      <w:marBottom w:val="0"/>
      <w:divBdr>
        <w:top w:val="none" w:sz="0" w:space="0" w:color="auto"/>
        <w:left w:val="none" w:sz="0" w:space="0" w:color="auto"/>
        <w:bottom w:val="none" w:sz="0" w:space="0" w:color="auto"/>
        <w:right w:val="none" w:sz="0" w:space="0" w:color="auto"/>
      </w:divBdr>
    </w:div>
    <w:div w:id="1989164902">
      <w:marLeft w:val="0"/>
      <w:marRight w:val="0"/>
      <w:marTop w:val="0"/>
      <w:marBottom w:val="0"/>
      <w:divBdr>
        <w:top w:val="none" w:sz="0" w:space="0" w:color="auto"/>
        <w:left w:val="none" w:sz="0" w:space="0" w:color="auto"/>
        <w:bottom w:val="none" w:sz="0" w:space="0" w:color="auto"/>
        <w:right w:val="none" w:sz="0" w:space="0" w:color="auto"/>
      </w:divBdr>
    </w:div>
    <w:div w:id="1989164903">
      <w:marLeft w:val="0"/>
      <w:marRight w:val="0"/>
      <w:marTop w:val="0"/>
      <w:marBottom w:val="0"/>
      <w:divBdr>
        <w:top w:val="none" w:sz="0" w:space="0" w:color="auto"/>
        <w:left w:val="none" w:sz="0" w:space="0" w:color="auto"/>
        <w:bottom w:val="none" w:sz="0" w:space="0" w:color="auto"/>
        <w:right w:val="none" w:sz="0" w:space="0" w:color="auto"/>
      </w:divBdr>
    </w:div>
    <w:div w:id="1989164904">
      <w:marLeft w:val="0"/>
      <w:marRight w:val="0"/>
      <w:marTop w:val="0"/>
      <w:marBottom w:val="0"/>
      <w:divBdr>
        <w:top w:val="none" w:sz="0" w:space="0" w:color="auto"/>
        <w:left w:val="none" w:sz="0" w:space="0" w:color="auto"/>
        <w:bottom w:val="none" w:sz="0" w:space="0" w:color="auto"/>
        <w:right w:val="none" w:sz="0" w:space="0" w:color="auto"/>
      </w:divBdr>
    </w:div>
    <w:div w:id="1989164905">
      <w:marLeft w:val="0"/>
      <w:marRight w:val="0"/>
      <w:marTop w:val="0"/>
      <w:marBottom w:val="0"/>
      <w:divBdr>
        <w:top w:val="none" w:sz="0" w:space="0" w:color="auto"/>
        <w:left w:val="none" w:sz="0" w:space="0" w:color="auto"/>
        <w:bottom w:val="none" w:sz="0" w:space="0" w:color="auto"/>
        <w:right w:val="none" w:sz="0" w:space="0" w:color="auto"/>
      </w:divBdr>
    </w:div>
    <w:div w:id="1989164906">
      <w:marLeft w:val="0"/>
      <w:marRight w:val="0"/>
      <w:marTop w:val="0"/>
      <w:marBottom w:val="0"/>
      <w:divBdr>
        <w:top w:val="none" w:sz="0" w:space="0" w:color="auto"/>
        <w:left w:val="none" w:sz="0" w:space="0" w:color="auto"/>
        <w:bottom w:val="none" w:sz="0" w:space="0" w:color="auto"/>
        <w:right w:val="none" w:sz="0" w:space="0" w:color="auto"/>
      </w:divBdr>
    </w:div>
    <w:div w:id="1989164907">
      <w:marLeft w:val="0"/>
      <w:marRight w:val="0"/>
      <w:marTop w:val="0"/>
      <w:marBottom w:val="0"/>
      <w:divBdr>
        <w:top w:val="none" w:sz="0" w:space="0" w:color="auto"/>
        <w:left w:val="none" w:sz="0" w:space="0" w:color="auto"/>
        <w:bottom w:val="none" w:sz="0" w:space="0" w:color="auto"/>
        <w:right w:val="none" w:sz="0" w:space="0" w:color="auto"/>
      </w:divBdr>
    </w:div>
    <w:div w:id="1989164908">
      <w:marLeft w:val="0"/>
      <w:marRight w:val="0"/>
      <w:marTop w:val="0"/>
      <w:marBottom w:val="0"/>
      <w:divBdr>
        <w:top w:val="none" w:sz="0" w:space="0" w:color="auto"/>
        <w:left w:val="none" w:sz="0" w:space="0" w:color="auto"/>
        <w:bottom w:val="none" w:sz="0" w:space="0" w:color="auto"/>
        <w:right w:val="none" w:sz="0" w:space="0" w:color="auto"/>
      </w:divBdr>
    </w:div>
    <w:div w:id="1989164909">
      <w:marLeft w:val="0"/>
      <w:marRight w:val="0"/>
      <w:marTop w:val="0"/>
      <w:marBottom w:val="0"/>
      <w:divBdr>
        <w:top w:val="none" w:sz="0" w:space="0" w:color="auto"/>
        <w:left w:val="none" w:sz="0" w:space="0" w:color="auto"/>
        <w:bottom w:val="none" w:sz="0" w:space="0" w:color="auto"/>
        <w:right w:val="none" w:sz="0" w:space="0" w:color="auto"/>
      </w:divBdr>
    </w:div>
    <w:div w:id="1989164910">
      <w:marLeft w:val="0"/>
      <w:marRight w:val="0"/>
      <w:marTop w:val="0"/>
      <w:marBottom w:val="0"/>
      <w:divBdr>
        <w:top w:val="none" w:sz="0" w:space="0" w:color="auto"/>
        <w:left w:val="none" w:sz="0" w:space="0" w:color="auto"/>
        <w:bottom w:val="none" w:sz="0" w:space="0" w:color="auto"/>
        <w:right w:val="none" w:sz="0" w:space="0" w:color="auto"/>
      </w:divBdr>
    </w:div>
    <w:div w:id="1989164911">
      <w:marLeft w:val="0"/>
      <w:marRight w:val="0"/>
      <w:marTop w:val="0"/>
      <w:marBottom w:val="0"/>
      <w:divBdr>
        <w:top w:val="none" w:sz="0" w:space="0" w:color="auto"/>
        <w:left w:val="none" w:sz="0" w:space="0" w:color="auto"/>
        <w:bottom w:val="none" w:sz="0" w:space="0" w:color="auto"/>
        <w:right w:val="none" w:sz="0" w:space="0" w:color="auto"/>
      </w:divBdr>
    </w:div>
    <w:div w:id="1989164912">
      <w:marLeft w:val="0"/>
      <w:marRight w:val="0"/>
      <w:marTop w:val="0"/>
      <w:marBottom w:val="0"/>
      <w:divBdr>
        <w:top w:val="none" w:sz="0" w:space="0" w:color="auto"/>
        <w:left w:val="none" w:sz="0" w:space="0" w:color="auto"/>
        <w:bottom w:val="none" w:sz="0" w:space="0" w:color="auto"/>
        <w:right w:val="none" w:sz="0" w:space="0" w:color="auto"/>
      </w:divBdr>
    </w:div>
    <w:div w:id="1989164913">
      <w:marLeft w:val="0"/>
      <w:marRight w:val="0"/>
      <w:marTop w:val="0"/>
      <w:marBottom w:val="0"/>
      <w:divBdr>
        <w:top w:val="none" w:sz="0" w:space="0" w:color="auto"/>
        <w:left w:val="none" w:sz="0" w:space="0" w:color="auto"/>
        <w:bottom w:val="none" w:sz="0" w:space="0" w:color="auto"/>
        <w:right w:val="none" w:sz="0" w:space="0" w:color="auto"/>
      </w:divBdr>
    </w:div>
    <w:div w:id="1989164918">
      <w:marLeft w:val="0"/>
      <w:marRight w:val="0"/>
      <w:marTop w:val="0"/>
      <w:marBottom w:val="0"/>
      <w:divBdr>
        <w:top w:val="none" w:sz="0" w:space="0" w:color="auto"/>
        <w:left w:val="none" w:sz="0" w:space="0" w:color="auto"/>
        <w:bottom w:val="none" w:sz="0" w:space="0" w:color="auto"/>
        <w:right w:val="none" w:sz="0" w:space="0" w:color="auto"/>
      </w:divBdr>
      <w:divsChild>
        <w:div w:id="1989164915">
          <w:marLeft w:val="0"/>
          <w:marRight w:val="0"/>
          <w:marTop w:val="0"/>
          <w:marBottom w:val="0"/>
          <w:divBdr>
            <w:top w:val="none" w:sz="0" w:space="0" w:color="auto"/>
            <w:left w:val="none" w:sz="0" w:space="0" w:color="auto"/>
            <w:bottom w:val="none" w:sz="0" w:space="0" w:color="auto"/>
            <w:right w:val="none" w:sz="0" w:space="0" w:color="auto"/>
          </w:divBdr>
          <w:divsChild>
            <w:div w:id="1989164896">
              <w:marLeft w:val="0"/>
              <w:marRight w:val="0"/>
              <w:marTop w:val="0"/>
              <w:marBottom w:val="240"/>
              <w:divBdr>
                <w:top w:val="none" w:sz="0" w:space="0" w:color="auto"/>
                <w:left w:val="none" w:sz="0" w:space="0" w:color="auto"/>
                <w:bottom w:val="none" w:sz="0" w:space="0" w:color="auto"/>
                <w:right w:val="none" w:sz="0" w:space="0" w:color="auto"/>
              </w:divBdr>
              <w:divsChild>
                <w:div w:id="1989164914">
                  <w:marLeft w:val="0"/>
                  <w:marRight w:val="0"/>
                  <w:marTop w:val="0"/>
                  <w:marBottom w:val="0"/>
                  <w:divBdr>
                    <w:top w:val="none" w:sz="0" w:space="0" w:color="auto"/>
                    <w:left w:val="none" w:sz="0" w:space="0" w:color="auto"/>
                    <w:bottom w:val="none" w:sz="0" w:space="0" w:color="auto"/>
                    <w:right w:val="none" w:sz="0" w:space="0" w:color="auto"/>
                  </w:divBdr>
                  <w:divsChild>
                    <w:div w:id="1989164897">
                      <w:marLeft w:val="225"/>
                      <w:marRight w:val="0"/>
                      <w:marTop w:val="0"/>
                      <w:marBottom w:val="0"/>
                      <w:divBdr>
                        <w:top w:val="none" w:sz="0" w:space="0" w:color="auto"/>
                        <w:left w:val="none" w:sz="0" w:space="0" w:color="auto"/>
                        <w:bottom w:val="none" w:sz="0" w:space="0" w:color="auto"/>
                        <w:right w:val="none" w:sz="0" w:space="0" w:color="auto"/>
                      </w:divBdr>
                      <w:divsChild>
                        <w:div w:id="1989164916">
                          <w:marLeft w:val="0"/>
                          <w:marRight w:val="0"/>
                          <w:marTop w:val="0"/>
                          <w:marBottom w:val="0"/>
                          <w:divBdr>
                            <w:top w:val="none" w:sz="0" w:space="0" w:color="auto"/>
                            <w:left w:val="none" w:sz="0" w:space="0" w:color="auto"/>
                            <w:bottom w:val="none" w:sz="0" w:space="0" w:color="auto"/>
                            <w:right w:val="none" w:sz="0" w:space="0" w:color="auto"/>
                          </w:divBdr>
                          <w:divsChild>
                            <w:div w:id="1989164917">
                              <w:marLeft w:val="0"/>
                              <w:marRight w:val="0"/>
                              <w:marTop w:val="0"/>
                              <w:marBottom w:val="150"/>
                              <w:divBdr>
                                <w:top w:val="single" w:sz="6" w:space="8" w:color="BBBBBB"/>
                                <w:left w:val="single" w:sz="6" w:space="8" w:color="BBBBBB"/>
                                <w:bottom w:val="single" w:sz="6" w:space="8" w:color="BBBBBB"/>
                                <w:right w:val="single" w:sz="6" w:space="8" w:color="BBBBBB"/>
                              </w:divBdr>
                            </w:div>
                          </w:divsChild>
                        </w:div>
                      </w:divsChild>
                    </w:div>
                  </w:divsChild>
                </w:div>
              </w:divsChild>
            </w:div>
          </w:divsChild>
        </w:div>
      </w:divsChild>
    </w:div>
    <w:div w:id="1989164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alingwhatworks@movemb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movember.com/about/scaling-what-works-grants" TargetMode="External"/><Relationship Id="rId4" Type="http://schemas.openxmlformats.org/officeDocument/2006/relationships/settings" Target="settings.xml"/><Relationship Id="rId9" Type="http://schemas.openxmlformats.org/officeDocument/2006/relationships/hyperlink" Target="https:///search.mygrantfinder.co.uk/Scheme/View/GRUKBP3!S477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6819-DBF0-40E1-9A59-8D2680BC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971</Words>
  <Characters>5539</Characters>
  <Application>Microsoft Office Word</Application>
  <DocSecurity>0</DocSecurity>
  <Lines>46</Lines>
  <Paragraphs>12</Paragraphs>
  <ScaleCrop>false</ScaleCrop>
  <Company>Zemeta Ltd</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Word document</dc:title>
  <dc:subject/>
  <dc:creator>Authorised User</dc:creator>
  <cp:keywords/>
  <dc:description/>
  <cp:lastModifiedBy>Hannah Giles</cp:lastModifiedBy>
  <cp:revision>2</cp:revision>
  <dcterms:created xsi:type="dcterms:W3CDTF">2022-01-26T09:25:00Z</dcterms:created>
  <dcterms:modified xsi:type="dcterms:W3CDTF">2022-01-26T09:25:00Z</dcterms:modified>
</cp:coreProperties>
</file>